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B7" w:rsidRDefault="00F541B7" w:rsidP="006C56E0">
      <w:pPr>
        <w:spacing w:line="0" w:lineRule="atLeast"/>
        <w:jc w:val="center"/>
        <w:rPr>
          <w:rFonts w:ascii="Meiryo UI" w:eastAsia="Meiryo UI" w:hAnsi="Meiryo UI" w:cs="Times New Roman"/>
          <w:sz w:val="48"/>
          <w:szCs w:val="40"/>
        </w:rPr>
      </w:pPr>
      <w:bookmarkStart w:id="0" w:name="_GoBack"/>
      <w:bookmarkEnd w:id="0"/>
    </w:p>
    <w:p w:rsidR="00F541B7" w:rsidRDefault="00F541B7" w:rsidP="006C56E0">
      <w:pPr>
        <w:spacing w:line="0" w:lineRule="atLeast"/>
        <w:jc w:val="center"/>
        <w:rPr>
          <w:rFonts w:ascii="Meiryo UI" w:eastAsia="Meiryo UI" w:hAnsi="Meiryo UI" w:cs="Times New Roman"/>
          <w:sz w:val="48"/>
          <w:szCs w:val="40"/>
        </w:rPr>
      </w:pPr>
    </w:p>
    <w:p w:rsidR="00F541B7" w:rsidRDefault="00F541B7" w:rsidP="006C56E0">
      <w:pPr>
        <w:spacing w:line="0" w:lineRule="atLeast"/>
        <w:jc w:val="center"/>
        <w:rPr>
          <w:rFonts w:ascii="Meiryo UI" w:eastAsia="Meiryo UI" w:hAnsi="Meiryo UI" w:cs="Times New Roman"/>
          <w:sz w:val="48"/>
          <w:szCs w:val="40"/>
        </w:rPr>
      </w:pPr>
    </w:p>
    <w:p w:rsidR="00F541B7" w:rsidRDefault="00F541B7" w:rsidP="006C56E0">
      <w:pPr>
        <w:spacing w:line="0" w:lineRule="atLeast"/>
        <w:jc w:val="center"/>
        <w:rPr>
          <w:rFonts w:ascii="Meiryo UI" w:eastAsia="Meiryo UI" w:hAnsi="Meiryo UI" w:cs="Times New Roman"/>
          <w:sz w:val="48"/>
          <w:szCs w:val="40"/>
        </w:rPr>
      </w:pPr>
    </w:p>
    <w:p w:rsidR="00F541B7" w:rsidRDefault="00F541B7" w:rsidP="006C56E0">
      <w:pPr>
        <w:spacing w:line="0" w:lineRule="atLeast"/>
        <w:jc w:val="center"/>
        <w:rPr>
          <w:rFonts w:ascii="Meiryo UI" w:eastAsia="Meiryo UI" w:hAnsi="Meiryo UI" w:cs="Times New Roman"/>
          <w:sz w:val="48"/>
          <w:szCs w:val="40"/>
        </w:rPr>
      </w:pPr>
    </w:p>
    <w:p w:rsidR="006C56E0" w:rsidRPr="006C56E0" w:rsidRDefault="006C56E0" w:rsidP="006C56E0">
      <w:pPr>
        <w:spacing w:line="0" w:lineRule="atLeast"/>
        <w:jc w:val="center"/>
        <w:rPr>
          <w:rFonts w:ascii="Meiryo UI" w:eastAsia="Meiryo UI" w:hAnsi="Meiryo UI" w:cs="Times New Roman"/>
          <w:sz w:val="48"/>
          <w:szCs w:val="40"/>
        </w:rPr>
      </w:pPr>
      <w:r w:rsidRPr="006C56E0">
        <w:rPr>
          <w:rFonts w:ascii="Meiryo UI" w:eastAsia="Meiryo UI" w:hAnsi="Meiryo UI" w:cs="Times New Roman"/>
          <w:sz w:val="48"/>
          <w:szCs w:val="40"/>
        </w:rPr>
        <w:t>Drug Discovery Research Partner-Seeking Program</w:t>
      </w:r>
    </w:p>
    <w:p w:rsidR="006C56E0" w:rsidRPr="006C56E0" w:rsidRDefault="006C56E0" w:rsidP="006C56E0">
      <w:pPr>
        <w:spacing w:line="0" w:lineRule="atLeast"/>
        <w:jc w:val="center"/>
        <w:rPr>
          <w:rFonts w:ascii="Meiryo UI" w:eastAsia="Meiryo UI" w:hAnsi="Meiryo UI" w:cs="Times New Roman"/>
          <w:sz w:val="48"/>
          <w:szCs w:val="40"/>
        </w:rPr>
      </w:pPr>
      <w:r w:rsidRPr="006C56E0">
        <w:rPr>
          <w:rFonts w:ascii="Meiryo UI" w:eastAsia="Meiryo UI" w:hAnsi="Meiryo UI" w:cs="Times New Roman"/>
          <w:sz w:val="48"/>
          <w:szCs w:val="40"/>
        </w:rPr>
        <w:t>(Wish list)</w:t>
      </w:r>
    </w:p>
    <w:p w:rsidR="006C56E0" w:rsidRPr="00F541B7" w:rsidRDefault="006C56E0" w:rsidP="006C56E0">
      <w:pPr>
        <w:snapToGrid w:val="0"/>
        <w:spacing w:line="0" w:lineRule="atLeast"/>
        <w:jc w:val="center"/>
        <w:rPr>
          <w:rFonts w:ascii="Meiryo UI" w:eastAsia="Meiryo UI" w:hAnsi="Meiryo UI" w:cs="Meiryo UI"/>
          <w:b/>
          <w:sz w:val="56"/>
          <w:szCs w:val="56"/>
        </w:rPr>
      </w:pPr>
    </w:p>
    <w:p w:rsidR="006C56E0" w:rsidRDefault="006C56E0" w:rsidP="006C56E0">
      <w:pPr>
        <w:snapToGrid w:val="0"/>
        <w:spacing w:line="0" w:lineRule="atLeast"/>
        <w:jc w:val="center"/>
        <w:rPr>
          <w:rFonts w:ascii="Meiryo UI" w:eastAsia="Meiryo UI" w:hAnsi="Meiryo UI" w:cs="Meiryo UI"/>
          <w:b/>
          <w:sz w:val="56"/>
          <w:szCs w:val="56"/>
        </w:rPr>
      </w:pPr>
    </w:p>
    <w:p w:rsidR="006C56E0" w:rsidRPr="006C56E0" w:rsidRDefault="006C56E0" w:rsidP="006C56E0">
      <w:pPr>
        <w:snapToGrid w:val="0"/>
        <w:spacing w:line="0" w:lineRule="atLeast"/>
        <w:jc w:val="center"/>
        <w:rPr>
          <w:rFonts w:ascii="Meiryo UI" w:eastAsia="Meiryo UI" w:hAnsi="Meiryo UI" w:cs="Meiryo UI"/>
          <w:b/>
          <w:sz w:val="56"/>
          <w:szCs w:val="56"/>
        </w:rPr>
      </w:pPr>
    </w:p>
    <w:p w:rsidR="006C56E0" w:rsidRPr="006C56E0" w:rsidRDefault="006C56E0" w:rsidP="006C56E0">
      <w:pPr>
        <w:spacing w:line="0" w:lineRule="atLeast"/>
        <w:jc w:val="center"/>
        <w:rPr>
          <w:rFonts w:ascii="Meiryo UI" w:eastAsia="Meiryo UI" w:hAnsi="Meiryo UI" w:cs="Times New Roman"/>
          <w:sz w:val="48"/>
          <w:szCs w:val="56"/>
        </w:rPr>
      </w:pPr>
      <w:r w:rsidRPr="006C56E0">
        <w:rPr>
          <w:rFonts w:ascii="Meiryo UI" w:eastAsia="Meiryo UI" w:hAnsi="Meiryo UI" w:cs="Times New Roman"/>
          <w:sz w:val="48"/>
          <w:szCs w:val="56"/>
        </w:rPr>
        <w:t>2018</w:t>
      </w:r>
    </w:p>
    <w:p w:rsidR="006C56E0" w:rsidRPr="006C56E0" w:rsidRDefault="006C56E0" w:rsidP="006C56E0">
      <w:pPr>
        <w:spacing w:line="0" w:lineRule="atLeast"/>
        <w:jc w:val="center"/>
        <w:rPr>
          <w:rFonts w:ascii="Meiryo UI" w:eastAsia="Meiryo UI" w:hAnsi="Meiryo UI" w:cs="Times New Roman"/>
          <w:sz w:val="48"/>
          <w:szCs w:val="56"/>
        </w:rPr>
      </w:pPr>
      <w:r w:rsidRPr="006C56E0">
        <w:rPr>
          <w:rFonts w:ascii="Meiryo UI" w:eastAsia="Meiryo UI" w:hAnsi="Meiryo UI" w:cs="Times New Roman"/>
          <w:sz w:val="48"/>
          <w:szCs w:val="56"/>
        </w:rPr>
        <w:t>EA Pharma Co., Ltd.</w:t>
      </w:r>
    </w:p>
    <w:p w:rsidR="006C56E0" w:rsidRPr="006C56E0" w:rsidRDefault="006C56E0" w:rsidP="006C56E0">
      <w:pPr>
        <w:spacing w:line="0" w:lineRule="atLeast"/>
        <w:jc w:val="center"/>
        <w:rPr>
          <w:rFonts w:ascii="Meiryo UI" w:eastAsia="Meiryo UI" w:hAnsi="Meiryo UI" w:cs="Times New Roman"/>
          <w:sz w:val="48"/>
          <w:szCs w:val="56"/>
        </w:rPr>
      </w:pPr>
      <w:r w:rsidRPr="006C56E0">
        <w:rPr>
          <w:rFonts w:ascii="Meiryo UI" w:eastAsia="Meiryo UI" w:hAnsi="Meiryo UI" w:cs="Times New Roman"/>
          <w:sz w:val="48"/>
          <w:szCs w:val="56"/>
        </w:rPr>
        <w:t>Research Institute</w:t>
      </w:r>
    </w:p>
    <w:p w:rsidR="006C56E0" w:rsidRDefault="006C56E0">
      <w:pPr>
        <w:jc w:val="left"/>
        <w:rPr>
          <w:rFonts w:ascii="Meiryo UI" w:eastAsia="Meiryo UI" w:hAnsi="Meiryo UI" w:cs="Meiryo UI"/>
          <w:b/>
          <w:sz w:val="32"/>
        </w:rPr>
      </w:pPr>
      <w:r>
        <w:rPr>
          <w:rFonts w:ascii="Meiryo UI" w:eastAsia="Meiryo UI" w:hAnsi="Meiryo UI" w:cs="Meiryo UI"/>
          <w:b/>
          <w:sz w:val="32"/>
        </w:rPr>
        <w:br w:type="page"/>
      </w:r>
    </w:p>
    <w:p w:rsidR="00162DC1" w:rsidRPr="00932145" w:rsidRDefault="006C56E0" w:rsidP="00932145">
      <w:pPr>
        <w:jc w:val="center"/>
        <w:rPr>
          <w:rFonts w:ascii="Meiryo UI" w:eastAsia="Meiryo UI" w:hAnsi="Meiryo UI" w:cs="Times New Roman"/>
          <w:b/>
          <w:sz w:val="28"/>
        </w:rPr>
      </w:pPr>
      <w:r w:rsidRPr="00932145">
        <w:rPr>
          <w:rFonts w:ascii="Meiryo UI" w:eastAsia="Meiryo UI" w:hAnsi="Meiryo UI" w:cs="Times New Roman"/>
          <w:b/>
          <w:sz w:val="28"/>
        </w:rPr>
        <w:lastRenderedPageBreak/>
        <w:t>Objectives and Background</w:t>
      </w:r>
    </w:p>
    <w:p w:rsidR="006C56E0" w:rsidRDefault="006C56E0" w:rsidP="00162DC1">
      <w:pPr>
        <w:spacing w:line="0" w:lineRule="atLeast"/>
        <w:rPr>
          <w:rFonts w:eastAsia="Meiryo UI"/>
        </w:rPr>
      </w:pPr>
      <w:r w:rsidRPr="00932145">
        <w:rPr>
          <w:rFonts w:eastAsia="Meiryo UI"/>
        </w:rPr>
        <w:t>As a Japanese specialty pharma in the field of gastrointestinal disease, EA Pharma</w:t>
      </w:r>
      <w:r w:rsidR="002C2410">
        <w:rPr>
          <w:rFonts w:eastAsia="Meiryo UI"/>
        </w:rPr>
        <w:t xml:space="preserve"> Co., Ltd.</w:t>
      </w:r>
      <w:r w:rsidRPr="00932145">
        <w:rPr>
          <w:rFonts w:eastAsia="Meiryo UI"/>
        </w:rPr>
        <w:t xml:space="preserve"> aims to be a human health care (</w:t>
      </w:r>
      <w:r w:rsidRPr="00892FCB">
        <w:rPr>
          <w:rFonts w:eastAsia="Meiryo UI"/>
          <w:i/>
        </w:rPr>
        <w:t>hhc</w:t>
      </w:r>
      <w:r w:rsidRPr="00932145">
        <w:rPr>
          <w:rFonts w:eastAsia="Meiryo UI"/>
        </w:rPr>
        <w:t xml:space="preserve">) company that can get close to patients suffering from gastrointestinal diseases through specialized research and development as well as a unique product lineup, and provide a wide range of solutions to patients and their families. In order to fill the further medical needs of patients, we wish to seek cooperation/collaborative study in drug discovery, drug development, and basic technologies. </w:t>
      </w:r>
    </w:p>
    <w:p w:rsidR="00932145" w:rsidRPr="00932145" w:rsidRDefault="00932145" w:rsidP="00162DC1">
      <w:pPr>
        <w:spacing w:line="0" w:lineRule="atLeast"/>
        <w:rPr>
          <w:rFonts w:eastAsia="Meiryo UI"/>
        </w:rPr>
      </w:pPr>
    </w:p>
    <w:p w:rsidR="00162DC1" w:rsidRPr="00932145" w:rsidRDefault="00162DC1" w:rsidP="00162DC1">
      <w:pPr>
        <w:spacing w:line="0" w:lineRule="atLeast"/>
        <w:rPr>
          <w:rFonts w:eastAsia="Meiryo UI"/>
        </w:rPr>
      </w:pPr>
    </w:p>
    <w:p w:rsidR="006C56E0" w:rsidRPr="00932145" w:rsidRDefault="006C56E0" w:rsidP="00162DC1">
      <w:pPr>
        <w:spacing w:line="0" w:lineRule="atLeast"/>
        <w:rPr>
          <w:rFonts w:eastAsia="Meiryo UI"/>
        </w:rPr>
      </w:pPr>
    </w:p>
    <w:p w:rsidR="006C56E0" w:rsidRDefault="009D5FAA" w:rsidP="00162DC1">
      <w:pPr>
        <w:pStyle w:val="ListParagraph"/>
        <w:numPr>
          <w:ilvl w:val="0"/>
          <w:numId w:val="25"/>
        </w:numPr>
        <w:spacing w:line="0" w:lineRule="atLeast"/>
        <w:ind w:leftChars="0"/>
        <w:jc w:val="center"/>
        <w:rPr>
          <w:rFonts w:ascii="Arial" w:eastAsia="Meiryo UI" w:hAnsi="Arial" w:cs="Arial"/>
          <w:b/>
          <w:sz w:val="28"/>
          <w:szCs w:val="21"/>
        </w:rPr>
      </w:pPr>
      <w:r>
        <w:rPr>
          <w:rFonts w:ascii="Arial" w:eastAsia="Meiryo UI" w:hAnsi="Arial" w:cs="Arial"/>
          <w:b/>
          <w:sz w:val="28"/>
          <w:szCs w:val="21"/>
        </w:rPr>
        <w:t xml:space="preserve">Drug candidates and </w:t>
      </w:r>
      <w:r w:rsidR="00932145">
        <w:rPr>
          <w:rFonts w:ascii="Arial" w:eastAsia="Meiryo UI" w:hAnsi="Arial" w:cs="Arial"/>
          <w:b/>
          <w:sz w:val="28"/>
          <w:szCs w:val="21"/>
        </w:rPr>
        <w:t xml:space="preserve">New </w:t>
      </w:r>
      <w:r w:rsidR="00932145" w:rsidRPr="00932145">
        <w:rPr>
          <w:rFonts w:ascii="Arial" w:eastAsia="Meiryo UI" w:hAnsi="Arial" w:cs="Arial"/>
          <w:b/>
          <w:sz w:val="28"/>
          <w:szCs w:val="21"/>
        </w:rPr>
        <w:t xml:space="preserve">drug </w:t>
      </w:r>
      <w:r>
        <w:rPr>
          <w:rFonts w:ascii="Arial" w:eastAsia="Meiryo UI" w:hAnsi="Arial" w:cs="Arial"/>
          <w:b/>
          <w:sz w:val="28"/>
          <w:szCs w:val="21"/>
        </w:rPr>
        <w:t>discovery target</w:t>
      </w:r>
      <w:r w:rsidR="00F14DF4">
        <w:rPr>
          <w:rFonts w:ascii="Arial" w:eastAsia="Meiryo UI" w:hAnsi="Arial" w:cs="Arial"/>
          <w:b/>
          <w:sz w:val="28"/>
          <w:szCs w:val="21"/>
        </w:rPr>
        <w:t>s</w:t>
      </w:r>
      <w:r w:rsidR="00932145" w:rsidRPr="00932145">
        <w:rPr>
          <w:rFonts w:ascii="Arial" w:eastAsia="Meiryo UI" w:hAnsi="Arial" w:cs="Arial"/>
          <w:b/>
          <w:sz w:val="28"/>
          <w:szCs w:val="21"/>
        </w:rPr>
        <w:t xml:space="preserve"> </w:t>
      </w:r>
      <w:r w:rsidR="006C56E0" w:rsidRPr="00932145">
        <w:rPr>
          <w:rFonts w:ascii="Arial" w:eastAsia="Meiryo UI" w:hAnsi="Arial" w:cs="Arial"/>
          <w:b/>
          <w:sz w:val="28"/>
          <w:szCs w:val="21"/>
        </w:rPr>
        <w:t>project</w:t>
      </w:r>
    </w:p>
    <w:p w:rsidR="00932145" w:rsidRDefault="00932145" w:rsidP="00932145">
      <w:pPr>
        <w:spacing w:line="0" w:lineRule="atLeast"/>
        <w:jc w:val="center"/>
        <w:rPr>
          <w:rFonts w:eastAsia="Meiryo UI"/>
          <w:b/>
          <w:sz w:val="28"/>
        </w:rPr>
      </w:pPr>
    </w:p>
    <w:p w:rsidR="00932145" w:rsidRDefault="00932145" w:rsidP="00932145">
      <w:pPr>
        <w:spacing w:line="0" w:lineRule="atLeast"/>
        <w:jc w:val="center"/>
        <w:rPr>
          <w:rFonts w:eastAsia="Meiryo UI"/>
          <w:b/>
          <w:sz w:val="28"/>
        </w:rPr>
      </w:pPr>
    </w:p>
    <w:p w:rsidR="005F1C9E" w:rsidRPr="00932145" w:rsidRDefault="00BE663F" w:rsidP="00162DC1">
      <w:pPr>
        <w:snapToGrid w:val="0"/>
        <w:spacing w:line="0" w:lineRule="atLeast"/>
        <w:rPr>
          <w:rFonts w:eastAsia="Meiryo UI"/>
          <w:b/>
          <w:u w:val="single"/>
        </w:rPr>
      </w:pPr>
      <w:r w:rsidRPr="00932145">
        <w:rPr>
          <w:rFonts w:eastAsia="Meiryo UI"/>
          <w:b/>
          <w:u w:val="single"/>
        </w:rPr>
        <w:t>Inflammatory bowel disease (</w:t>
      </w:r>
      <w:r w:rsidR="00882C66" w:rsidRPr="00932145">
        <w:rPr>
          <w:rFonts w:eastAsia="Meiryo UI"/>
          <w:b/>
          <w:u w:val="single"/>
        </w:rPr>
        <w:t>IBD</w:t>
      </w:r>
      <w:r w:rsidRPr="00932145">
        <w:rPr>
          <w:rFonts w:eastAsia="Meiryo UI"/>
          <w:b/>
          <w:u w:val="single"/>
        </w:rPr>
        <w:t>)</w:t>
      </w:r>
    </w:p>
    <w:p w:rsidR="00162DC1" w:rsidRPr="00932145" w:rsidRDefault="001550B3" w:rsidP="00162DC1">
      <w:pPr>
        <w:pStyle w:val="ListParagraph"/>
        <w:numPr>
          <w:ilvl w:val="0"/>
          <w:numId w:val="26"/>
        </w:numPr>
        <w:snapToGrid w:val="0"/>
        <w:spacing w:line="0" w:lineRule="atLeast"/>
        <w:ind w:leftChars="0" w:left="357" w:hanging="357"/>
        <w:rPr>
          <w:rFonts w:ascii="Arial" w:hAnsi="Arial" w:cs="Arial"/>
          <w:szCs w:val="21"/>
          <w:lang w:val="en"/>
        </w:rPr>
      </w:pPr>
      <w:r w:rsidRPr="00932145">
        <w:rPr>
          <w:rFonts w:ascii="Arial" w:hAnsi="Arial" w:cs="Arial"/>
          <w:szCs w:val="21"/>
        </w:rPr>
        <w:t>New d</w:t>
      </w:r>
      <w:r w:rsidR="00113485" w:rsidRPr="00932145">
        <w:rPr>
          <w:rFonts w:ascii="Arial" w:hAnsi="Arial" w:cs="Arial"/>
          <w:szCs w:val="21"/>
          <w:lang w:val="en"/>
        </w:rPr>
        <w:t>rug target</w:t>
      </w:r>
      <w:r w:rsidRPr="00932145">
        <w:rPr>
          <w:rFonts w:ascii="Arial" w:hAnsi="Arial" w:cs="Arial"/>
          <w:szCs w:val="21"/>
          <w:lang w:val="en"/>
        </w:rPr>
        <w:t>s</w:t>
      </w:r>
      <w:r w:rsidR="00113485" w:rsidRPr="00932145">
        <w:rPr>
          <w:rFonts w:ascii="Arial" w:hAnsi="Arial" w:cs="Arial"/>
          <w:szCs w:val="21"/>
          <w:lang w:val="en"/>
        </w:rPr>
        <w:t xml:space="preserve"> or drug candidate</w:t>
      </w:r>
      <w:r w:rsidRPr="00932145">
        <w:rPr>
          <w:rFonts w:ascii="Arial" w:hAnsi="Arial" w:cs="Arial"/>
          <w:szCs w:val="21"/>
          <w:lang w:val="en"/>
        </w:rPr>
        <w:t>s</w:t>
      </w:r>
      <w:r w:rsidR="00113485" w:rsidRPr="00932145">
        <w:rPr>
          <w:rFonts w:ascii="Arial" w:hAnsi="Arial" w:cs="Arial"/>
          <w:szCs w:val="21"/>
          <w:lang w:val="en"/>
        </w:rPr>
        <w:t xml:space="preserve"> related to the factor</w:t>
      </w:r>
      <w:r w:rsidR="0054190A" w:rsidRPr="00932145">
        <w:rPr>
          <w:rFonts w:ascii="Arial" w:hAnsi="Arial" w:cs="Arial"/>
          <w:szCs w:val="21"/>
          <w:lang w:val="en"/>
        </w:rPr>
        <w:t>s described below that correct</w:t>
      </w:r>
      <w:r w:rsidR="00113485" w:rsidRPr="00932145">
        <w:rPr>
          <w:rFonts w:ascii="Arial" w:hAnsi="Arial" w:cs="Arial"/>
          <w:szCs w:val="21"/>
          <w:lang w:val="en"/>
        </w:rPr>
        <w:t xml:space="preserve"> the immune response to the antigen by a mechanism different from existing anti-inflammatory drugs. Recent studies have shown that IBD is a heterozygous disorder characterized by excessive immune response or immunodeficiency against certain </w:t>
      </w:r>
      <w:r w:rsidR="0054190A" w:rsidRPr="00932145">
        <w:rPr>
          <w:rFonts w:ascii="Arial" w:hAnsi="Arial" w:cs="Arial"/>
          <w:szCs w:val="21"/>
          <w:lang w:val="en"/>
        </w:rPr>
        <w:t>enteric</w:t>
      </w:r>
      <w:r w:rsidR="00113485" w:rsidRPr="00932145">
        <w:rPr>
          <w:rFonts w:ascii="Arial" w:hAnsi="Arial" w:cs="Arial"/>
          <w:szCs w:val="21"/>
          <w:lang w:val="en"/>
        </w:rPr>
        <w:t xml:space="preserve"> factors.</w:t>
      </w:r>
    </w:p>
    <w:p w:rsidR="00113485" w:rsidRPr="00932145" w:rsidRDefault="00113485" w:rsidP="00162DC1">
      <w:pPr>
        <w:pStyle w:val="ListParagraph"/>
        <w:snapToGrid w:val="0"/>
        <w:spacing w:line="0" w:lineRule="atLeast"/>
        <w:ind w:leftChars="0" w:left="360"/>
        <w:rPr>
          <w:rFonts w:ascii="Arial" w:hAnsi="Arial" w:cs="Arial"/>
          <w:szCs w:val="21"/>
          <w:lang w:val="en"/>
        </w:rPr>
      </w:pPr>
    </w:p>
    <w:p w:rsidR="00113485" w:rsidRPr="00932145" w:rsidRDefault="00113485" w:rsidP="00162DC1">
      <w:pPr>
        <w:pStyle w:val="ListParagraph"/>
        <w:numPr>
          <w:ilvl w:val="0"/>
          <w:numId w:val="30"/>
        </w:numPr>
        <w:snapToGrid w:val="0"/>
        <w:spacing w:line="0" w:lineRule="atLeast"/>
        <w:ind w:leftChars="0" w:left="568" w:hanging="284"/>
        <w:rPr>
          <w:rFonts w:ascii="Arial" w:eastAsia="Meiryo UI" w:hAnsi="Arial" w:cs="Arial"/>
          <w:szCs w:val="21"/>
        </w:rPr>
      </w:pPr>
      <w:r w:rsidRPr="00932145">
        <w:rPr>
          <w:rFonts w:ascii="Arial" w:hAnsi="Arial" w:cs="Arial"/>
          <w:szCs w:val="21"/>
          <w:lang w:val="en"/>
        </w:rPr>
        <w:t>Activation of antigen recognition of innate immune cells (excluding TLR agonists)</w:t>
      </w:r>
    </w:p>
    <w:p w:rsidR="00113485" w:rsidRPr="00932145" w:rsidRDefault="00113485" w:rsidP="00162DC1">
      <w:pPr>
        <w:pStyle w:val="ListParagraph"/>
        <w:numPr>
          <w:ilvl w:val="0"/>
          <w:numId w:val="30"/>
        </w:numPr>
        <w:snapToGrid w:val="0"/>
        <w:spacing w:line="0" w:lineRule="atLeast"/>
        <w:ind w:leftChars="0" w:left="568" w:hanging="284"/>
        <w:rPr>
          <w:rFonts w:ascii="Arial" w:eastAsia="Meiryo UI" w:hAnsi="Arial" w:cs="Arial"/>
          <w:szCs w:val="21"/>
        </w:rPr>
      </w:pPr>
      <w:r w:rsidRPr="00932145">
        <w:rPr>
          <w:rFonts w:ascii="Arial" w:hAnsi="Arial" w:cs="Arial"/>
          <w:szCs w:val="21"/>
          <w:lang w:val="en"/>
        </w:rPr>
        <w:t xml:space="preserve">induction of immune tolerance </w:t>
      </w:r>
      <w:r w:rsidR="00236BD7" w:rsidRPr="00932145">
        <w:rPr>
          <w:rFonts w:ascii="Arial" w:hAnsi="Arial" w:cs="Arial"/>
          <w:szCs w:val="21"/>
          <w:lang w:val="en"/>
        </w:rPr>
        <w:t xml:space="preserve">and reconfiguration of immune system </w:t>
      </w:r>
      <w:r w:rsidRPr="00932145">
        <w:rPr>
          <w:rFonts w:ascii="Arial" w:hAnsi="Arial" w:cs="Arial"/>
          <w:szCs w:val="21"/>
          <w:lang w:val="en"/>
        </w:rPr>
        <w:t>to excessive immune response</w:t>
      </w:r>
    </w:p>
    <w:p w:rsidR="00113485" w:rsidRPr="00932145" w:rsidRDefault="00113485" w:rsidP="00162DC1">
      <w:pPr>
        <w:pStyle w:val="ListParagraph"/>
        <w:numPr>
          <w:ilvl w:val="0"/>
          <w:numId w:val="30"/>
        </w:numPr>
        <w:snapToGrid w:val="0"/>
        <w:spacing w:line="0" w:lineRule="atLeast"/>
        <w:ind w:leftChars="0" w:left="568" w:hanging="284"/>
        <w:rPr>
          <w:rFonts w:ascii="Arial" w:eastAsia="Meiryo UI" w:hAnsi="Arial" w:cs="Arial"/>
          <w:szCs w:val="21"/>
        </w:rPr>
      </w:pPr>
      <w:r w:rsidRPr="00932145">
        <w:rPr>
          <w:rFonts w:ascii="Arial" w:hAnsi="Arial" w:cs="Arial"/>
          <w:szCs w:val="21"/>
          <w:lang w:val="en"/>
        </w:rPr>
        <w:t xml:space="preserve">Complete elimination / reconstruction of </w:t>
      </w:r>
      <w:r w:rsidR="00236BD7" w:rsidRPr="00932145">
        <w:rPr>
          <w:rFonts w:ascii="Arial" w:hAnsi="Arial" w:cs="Arial"/>
          <w:szCs w:val="21"/>
          <w:lang w:val="en"/>
        </w:rPr>
        <w:t>immunological</w:t>
      </w:r>
      <w:r w:rsidRPr="00932145">
        <w:rPr>
          <w:rFonts w:ascii="Arial" w:hAnsi="Arial" w:cs="Arial"/>
          <w:szCs w:val="21"/>
          <w:lang w:val="en"/>
        </w:rPr>
        <w:t xml:space="preserve"> memory</w:t>
      </w:r>
    </w:p>
    <w:p w:rsidR="00113485" w:rsidRPr="00932145" w:rsidRDefault="00236BD7" w:rsidP="00162DC1">
      <w:pPr>
        <w:pStyle w:val="ListParagraph"/>
        <w:numPr>
          <w:ilvl w:val="0"/>
          <w:numId w:val="30"/>
        </w:numPr>
        <w:snapToGrid w:val="0"/>
        <w:spacing w:line="0" w:lineRule="atLeast"/>
        <w:ind w:leftChars="0" w:left="568" w:hanging="284"/>
        <w:rPr>
          <w:rFonts w:ascii="Arial" w:eastAsia="Meiryo UI" w:hAnsi="Arial" w:cs="Arial"/>
          <w:szCs w:val="21"/>
        </w:rPr>
      </w:pPr>
      <w:r w:rsidRPr="00932145">
        <w:rPr>
          <w:rFonts w:ascii="Arial" w:hAnsi="Arial" w:cs="Arial"/>
          <w:szCs w:val="21"/>
          <w:lang w:val="en"/>
        </w:rPr>
        <w:t>Resolution of inflammation</w:t>
      </w:r>
    </w:p>
    <w:p w:rsidR="00236BD7" w:rsidRPr="00932145" w:rsidRDefault="00236BD7" w:rsidP="00162DC1">
      <w:pPr>
        <w:snapToGrid w:val="0"/>
        <w:spacing w:line="0" w:lineRule="atLeast"/>
        <w:rPr>
          <w:lang w:val="en"/>
        </w:rPr>
      </w:pPr>
    </w:p>
    <w:p w:rsidR="00113485" w:rsidRPr="00932145" w:rsidRDefault="00113485" w:rsidP="00162DC1">
      <w:pPr>
        <w:snapToGrid w:val="0"/>
        <w:spacing w:line="0" w:lineRule="atLeast"/>
        <w:rPr>
          <w:lang w:val="en"/>
        </w:rPr>
      </w:pPr>
    </w:p>
    <w:p w:rsidR="00113485" w:rsidRPr="00932145" w:rsidRDefault="00453E7E" w:rsidP="00162DC1">
      <w:pPr>
        <w:pStyle w:val="ListParagraph"/>
        <w:numPr>
          <w:ilvl w:val="0"/>
          <w:numId w:val="26"/>
        </w:numPr>
        <w:snapToGrid w:val="0"/>
        <w:spacing w:line="0" w:lineRule="atLeast"/>
        <w:ind w:leftChars="0"/>
        <w:rPr>
          <w:rFonts w:ascii="Arial" w:hAnsi="Arial" w:cs="Arial"/>
          <w:szCs w:val="21"/>
          <w:lang w:val="en"/>
        </w:rPr>
      </w:pPr>
      <w:r w:rsidRPr="00932145">
        <w:rPr>
          <w:rFonts w:ascii="Arial" w:hAnsi="Arial" w:cs="Arial"/>
          <w:szCs w:val="21"/>
          <w:lang w:val="en"/>
        </w:rPr>
        <w:t>New d</w:t>
      </w:r>
      <w:r w:rsidR="00113485" w:rsidRPr="00932145">
        <w:rPr>
          <w:rFonts w:ascii="Arial" w:hAnsi="Arial" w:cs="Arial"/>
          <w:szCs w:val="21"/>
          <w:lang w:val="en"/>
        </w:rPr>
        <w:t xml:space="preserve">rug targets or drug candidates related to the factors described below that have a beneficial effect on the regulation of mucosal barrier function in human small intestine. IBD is associated with </w:t>
      </w:r>
      <w:r w:rsidR="00DA32D4" w:rsidRPr="00932145">
        <w:rPr>
          <w:rFonts w:ascii="Arial" w:hAnsi="Arial" w:cs="Arial"/>
          <w:szCs w:val="21"/>
          <w:lang w:val="en"/>
        </w:rPr>
        <w:t>decreased</w:t>
      </w:r>
      <w:r w:rsidR="00113485" w:rsidRPr="00932145">
        <w:rPr>
          <w:rFonts w:ascii="Arial" w:hAnsi="Arial" w:cs="Arial"/>
          <w:szCs w:val="21"/>
          <w:lang w:val="en"/>
        </w:rPr>
        <w:t xml:space="preserve"> mucous barrier function and </w:t>
      </w:r>
      <w:r w:rsidR="000811D9" w:rsidRPr="00932145">
        <w:rPr>
          <w:rFonts w:ascii="Arial" w:hAnsi="Arial" w:cs="Arial"/>
          <w:szCs w:val="21"/>
          <w:lang w:val="en"/>
        </w:rPr>
        <w:t>altered microbial species</w:t>
      </w:r>
      <w:r w:rsidR="00113485" w:rsidRPr="00932145">
        <w:rPr>
          <w:rFonts w:ascii="Arial" w:hAnsi="Arial" w:cs="Arial"/>
          <w:szCs w:val="21"/>
          <w:lang w:val="en"/>
        </w:rPr>
        <w:t>. Altered micro</w:t>
      </w:r>
      <w:r w:rsidR="000811D9" w:rsidRPr="00932145">
        <w:rPr>
          <w:rFonts w:ascii="Arial" w:hAnsi="Arial" w:cs="Arial"/>
          <w:szCs w:val="21"/>
          <w:lang w:val="en"/>
        </w:rPr>
        <w:t>be</w:t>
      </w:r>
      <w:r w:rsidR="00113485" w:rsidRPr="00932145">
        <w:rPr>
          <w:rFonts w:ascii="Arial" w:hAnsi="Arial" w:cs="Arial"/>
          <w:szCs w:val="21"/>
          <w:lang w:val="en"/>
        </w:rPr>
        <w:t xml:space="preserve">s can degrade the mucous layer or inhibit mucin production and </w:t>
      </w:r>
      <w:r w:rsidR="00DA32D4" w:rsidRPr="00932145">
        <w:rPr>
          <w:rFonts w:ascii="Arial" w:hAnsi="Arial" w:cs="Arial"/>
          <w:szCs w:val="21"/>
          <w:lang w:val="en"/>
        </w:rPr>
        <w:t>delay</w:t>
      </w:r>
      <w:r w:rsidR="00113485" w:rsidRPr="00932145">
        <w:rPr>
          <w:rFonts w:ascii="Arial" w:hAnsi="Arial" w:cs="Arial"/>
          <w:szCs w:val="21"/>
          <w:lang w:val="en"/>
        </w:rPr>
        <w:t xml:space="preserve"> epithelial wound repair. These mechanisms are assumed to be involved in the etiology and / or severity of IBD.</w:t>
      </w:r>
    </w:p>
    <w:p w:rsidR="00113485" w:rsidRPr="00932145" w:rsidRDefault="00113485" w:rsidP="00162DC1">
      <w:pPr>
        <w:pStyle w:val="ListParagraph"/>
        <w:snapToGrid w:val="0"/>
        <w:spacing w:line="0" w:lineRule="atLeast"/>
        <w:ind w:leftChars="0" w:left="360"/>
        <w:rPr>
          <w:rFonts w:ascii="Arial" w:hAnsi="Arial" w:cs="Arial"/>
          <w:szCs w:val="21"/>
          <w:lang w:val="en"/>
        </w:rPr>
      </w:pPr>
    </w:p>
    <w:p w:rsidR="00113485" w:rsidRPr="00932145" w:rsidRDefault="00113485" w:rsidP="00162DC1">
      <w:pPr>
        <w:pStyle w:val="ListParagraph"/>
        <w:numPr>
          <w:ilvl w:val="0"/>
          <w:numId w:val="31"/>
        </w:numPr>
        <w:snapToGrid w:val="0"/>
        <w:spacing w:line="0" w:lineRule="atLeast"/>
        <w:ind w:leftChars="0" w:left="567" w:hanging="283"/>
        <w:rPr>
          <w:rFonts w:ascii="Arial" w:hAnsi="Arial" w:cs="Arial"/>
          <w:szCs w:val="21"/>
          <w:lang w:val="en"/>
        </w:rPr>
      </w:pPr>
      <w:r w:rsidRPr="00932145">
        <w:rPr>
          <w:rFonts w:ascii="Arial" w:hAnsi="Arial" w:cs="Arial"/>
          <w:szCs w:val="21"/>
          <w:lang w:val="en"/>
        </w:rPr>
        <w:t>Suppression of mucous degradation and erosion in human small</w:t>
      </w:r>
      <w:r w:rsidR="00016FCA" w:rsidRPr="00932145">
        <w:rPr>
          <w:rFonts w:ascii="Arial" w:hAnsi="Arial" w:cs="Arial"/>
          <w:szCs w:val="21"/>
          <w:lang w:val="en"/>
        </w:rPr>
        <w:t xml:space="preserve"> intestine (</w:t>
      </w:r>
      <w:r w:rsidR="00165257" w:rsidRPr="00932145">
        <w:rPr>
          <w:rFonts w:ascii="Arial" w:hAnsi="Arial" w:cs="Arial"/>
          <w:szCs w:val="21"/>
          <w:lang w:val="en"/>
        </w:rPr>
        <w:t>exclude those caused by</w:t>
      </w:r>
      <w:r w:rsidR="00016FCA" w:rsidRPr="00932145">
        <w:rPr>
          <w:rFonts w:ascii="Arial" w:hAnsi="Arial" w:cs="Arial"/>
          <w:szCs w:val="21"/>
          <w:lang w:val="en"/>
        </w:rPr>
        <w:t xml:space="preserve"> infectious disease</w:t>
      </w:r>
      <w:r w:rsidR="00165257" w:rsidRPr="00932145">
        <w:rPr>
          <w:rFonts w:ascii="Arial" w:hAnsi="Arial" w:cs="Arial"/>
          <w:szCs w:val="21"/>
          <w:lang w:val="en"/>
        </w:rPr>
        <w:t>s</w:t>
      </w:r>
      <w:r w:rsidRPr="00932145">
        <w:rPr>
          <w:rFonts w:ascii="Arial" w:hAnsi="Arial" w:cs="Arial"/>
          <w:szCs w:val="21"/>
          <w:lang w:val="en"/>
        </w:rPr>
        <w:t>)</w:t>
      </w:r>
    </w:p>
    <w:p w:rsidR="00016FCA" w:rsidRPr="00932145" w:rsidRDefault="00113485" w:rsidP="00016FCA">
      <w:pPr>
        <w:pStyle w:val="ListParagraph"/>
        <w:numPr>
          <w:ilvl w:val="0"/>
          <w:numId w:val="31"/>
        </w:numPr>
        <w:snapToGrid w:val="0"/>
        <w:spacing w:line="0" w:lineRule="atLeast"/>
        <w:ind w:leftChars="0" w:left="567" w:hanging="283"/>
        <w:rPr>
          <w:rFonts w:ascii="Arial" w:hAnsi="Arial" w:cs="Arial"/>
          <w:szCs w:val="21"/>
          <w:lang w:val="en"/>
        </w:rPr>
      </w:pPr>
      <w:r w:rsidRPr="00932145">
        <w:rPr>
          <w:rFonts w:ascii="Arial" w:hAnsi="Arial" w:cs="Arial"/>
          <w:szCs w:val="21"/>
          <w:lang w:val="en"/>
        </w:rPr>
        <w:t>Promotion of epithelial cell wound healing in human small intestine (</w:t>
      </w:r>
      <w:r w:rsidR="00165257" w:rsidRPr="00932145">
        <w:rPr>
          <w:rFonts w:ascii="Arial" w:hAnsi="Arial" w:cs="Arial"/>
          <w:szCs w:val="21"/>
          <w:lang w:val="en"/>
        </w:rPr>
        <w:t>exclude</w:t>
      </w:r>
      <w:r w:rsidRPr="00932145">
        <w:rPr>
          <w:rFonts w:ascii="Arial" w:hAnsi="Arial" w:cs="Arial"/>
          <w:szCs w:val="21"/>
          <w:lang w:val="en"/>
        </w:rPr>
        <w:t xml:space="preserve"> growth hormone</w:t>
      </w:r>
      <w:r w:rsidR="00165257" w:rsidRPr="00932145">
        <w:rPr>
          <w:rFonts w:ascii="Arial" w:hAnsi="Arial" w:cs="Arial"/>
          <w:szCs w:val="21"/>
          <w:lang w:val="en"/>
        </w:rPr>
        <w:t>s</w:t>
      </w:r>
      <w:r w:rsidRPr="00932145">
        <w:rPr>
          <w:rFonts w:ascii="Arial" w:hAnsi="Arial" w:cs="Arial"/>
          <w:szCs w:val="21"/>
          <w:lang w:val="en"/>
        </w:rPr>
        <w:t>)</w:t>
      </w:r>
    </w:p>
    <w:p w:rsidR="000D6F3D" w:rsidRPr="00932145" w:rsidRDefault="000D6F3D" w:rsidP="000D6F3D">
      <w:pPr>
        <w:snapToGrid w:val="0"/>
        <w:spacing w:line="0" w:lineRule="atLeast"/>
      </w:pPr>
    </w:p>
    <w:p w:rsidR="00113485" w:rsidRPr="00932145" w:rsidRDefault="00113485" w:rsidP="00162DC1">
      <w:pPr>
        <w:pStyle w:val="ListParagraph"/>
        <w:snapToGrid w:val="0"/>
        <w:spacing w:line="0" w:lineRule="atLeast"/>
        <w:ind w:leftChars="0" w:left="567"/>
        <w:rPr>
          <w:rFonts w:ascii="Arial" w:hAnsi="Arial" w:cs="Arial"/>
          <w:szCs w:val="21"/>
          <w:lang w:val="en"/>
        </w:rPr>
      </w:pPr>
    </w:p>
    <w:p w:rsidR="001E454F" w:rsidRPr="00932145" w:rsidRDefault="00BE663F" w:rsidP="00162DC1">
      <w:pPr>
        <w:snapToGrid w:val="0"/>
        <w:spacing w:line="0" w:lineRule="atLeast"/>
        <w:rPr>
          <w:rFonts w:eastAsia="Meiryo UI"/>
          <w:b/>
          <w:u w:val="single"/>
        </w:rPr>
      </w:pPr>
      <w:r w:rsidRPr="00932145">
        <w:rPr>
          <w:rFonts w:eastAsia="Meiryo UI"/>
          <w:b/>
          <w:u w:val="single"/>
        </w:rPr>
        <w:t>Non-alcoholic steatohepatitis (</w:t>
      </w:r>
      <w:r w:rsidR="00652FB5" w:rsidRPr="00932145">
        <w:rPr>
          <w:rFonts w:eastAsia="Meiryo UI"/>
          <w:b/>
          <w:u w:val="single"/>
        </w:rPr>
        <w:t>NASH</w:t>
      </w:r>
      <w:r w:rsidRPr="00932145">
        <w:rPr>
          <w:rFonts w:eastAsia="Meiryo UI"/>
          <w:b/>
          <w:u w:val="single"/>
        </w:rPr>
        <w:t>)</w:t>
      </w:r>
    </w:p>
    <w:p w:rsidR="007A283E" w:rsidRPr="00932145" w:rsidRDefault="00C81781" w:rsidP="00162DC1">
      <w:pPr>
        <w:pStyle w:val="ListParagraph"/>
        <w:numPr>
          <w:ilvl w:val="0"/>
          <w:numId w:val="33"/>
        </w:numPr>
        <w:snapToGrid w:val="0"/>
        <w:spacing w:line="0" w:lineRule="atLeast"/>
        <w:ind w:leftChars="0"/>
        <w:rPr>
          <w:rFonts w:ascii="Arial" w:eastAsia="Meiryo UI" w:hAnsi="Arial" w:cs="Arial"/>
          <w:b/>
          <w:szCs w:val="21"/>
          <w:u w:val="single"/>
        </w:rPr>
      </w:pPr>
      <w:r w:rsidRPr="00932145">
        <w:rPr>
          <w:rFonts w:ascii="Arial" w:hAnsi="Arial" w:cs="Arial"/>
          <w:szCs w:val="21"/>
        </w:rPr>
        <w:t>D</w:t>
      </w:r>
      <w:r w:rsidR="00113485" w:rsidRPr="00932145">
        <w:rPr>
          <w:rFonts w:ascii="Arial" w:hAnsi="Arial" w:cs="Arial"/>
          <w:szCs w:val="21"/>
          <w:lang w:val="en"/>
        </w:rPr>
        <w:t>rug candidate</w:t>
      </w:r>
      <w:r w:rsidRPr="00932145">
        <w:rPr>
          <w:rFonts w:ascii="Arial" w:hAnsi="Arial" w:cs="Arial"/>
          <w:szCs w:val="21"/>
          <w:lang w:val="en"/>
        </w:rPr>
        <w:t>s that have</w:t>
      </w:r>
      <w:r w:rsidR="00113485" w:rsidRPr="00932145">
        <w:rPr>
          <w:rFonts w:ascii="Arial" w:hAnsi="Arial" w:cs="Arial"/>
          <w:szCs w:val="21"/>
          <w:lang w:val="en"/>
        </w:rPr>
        <w:t xml:space="preserve"> high inhibitory effect on ballooning, inflammation and fibrosis of the liver by a mechanism </w:t>
      </w:r>
      <w:r w:rsidR="00E17B5C" w:rsidRPr="00932145">
        <w:rPr>
          <w:rFonts w:ascii="Arial" w:hAnsi="Arial" w:cs="Arial"/>
          <w:szCs w:val="21"/>
          <w:lang w:val="en"/>
        </w:rPr>
        <w:t xml:space="preserve">of action </w:t>
      </w:r>
      <w:r w:rsidR="00113485" w:rsidRPr="00932145">
        <w:rPr>
          <w:rFonts w:ascii="Arial" w:hAnsi="Arial" w:cs="Arial"/>
          <w:szCs w:val="21"/>
          <w:lang w:val="en"/>
        </w:rPr>
        <w:t xml:space="preserve">different from </w:t>
      </w:r>
      <w:r w:rsidR="00E17B5C" w:rsidRPr="00932145">
        <w:rPr>
          <w:rFonts w:ascii="Arial" w:hAnsi="Arial" w:cs="Arial"/>
          <w:szCs w:val="21"/>
          <w:lang w:val="en"/>
        </w:rPr>
        <w:t xml:space="preserve">those of </w:t>
      </w:r>
      <w:r w:rsidR="00113485" w:rsidRPr="00932145">
        <w:rPr>
          <w:rFonts w:ascii="Arial" w:hAnsi="Arial" w:cs="Arial"/>
          <w:szCs w:val="21"/>
          <w:lang w:val="en"/>
        </w:rPr>
        <w:t>FXR agonist or PPAR agonist, and is e</w:t>
      </w:r>
      <w:r w:rsidR="007A283E" w:rsidRPr="00932145">
        <w:rPr>
          <w:rFonts w:ascii="Arial" w:hAnsi="Arial" w:cs="Arial"/>
          <w:szCs w:val="21"/>
          <w:lang w:val="en"/>
        </w:rPr>
        <w:t>xpected to have high safety.</w:t>
      </w:r>
    </w:p>
    <w:p w:rsidR="007A283E" w:rsidRPr="00932145" w:rsidRDefault="00213246" w:rsidP="00162DC1">
      <w:pPr>
        <w:pStyle w:val="ListParagraph"/>
        <w:numPr>
          <w:ilvl w:val="0"/>
          <w:numId w:val="33"/>
        </w:numPr>
        <w:snapToGrid w:val="0"/>
        <w:spacing w:line="0" w:lineRule="atLeast"/>
        <w:ind w:leftChars="0"/>
        <w:rPr>
          <w:rFonts w:ascii="Arial" w:eastAsia="Meiryo UI" w:hAnsi="Arial" w:cs="Arial"/>
          <w:b/>
          <w:szCs w:val="21"/>
          <w:u w:val="single"/>
        </w:rPr>
      </w:pPr>
      <w:r w:rsidRPr="00932145">
        <w:rPr>
          <w:rFonts w:ascii="Arial" w:hAnsi="Arial" w:cs="Arial"/>
          <w:szCs w:val="21"/>
        </w:rPr>
        <w:t>Drug candidates or new drug targets that can identify a specific patient population through the analysis of clinical pathophysiology of NASH and show an effect specifically on the patient population.</w:t>
      </w:r>
    </w:p>
    <w:p w:rsidR="00DF6D0F" w:rsidRPr="00932145" w:rsidRDefault="00C81781" w:rsidP="00162DC1">
      <w:pPr>
        <w:pStyle w:val="ListParagraph"/>
        <w:numPr>
          <w:ilvl w:val="0"/>
          <w:numId w:val="33"/>
        </w:numPr>
        <w:snapToGrid w:val="0"/>
        <w:spacing w:line="0" w:lineRule="atLeast"/>
        <w:ind w:leftChars="0"/>
        <w:rPr>
          <w:rFonts w:ascii="Arial" w:eastAsia="Meiryo UI" w:hAnsi="Arial" w:cs="Arial"/>
          <w:b/>
          <w:szCs w:val="21"/>
          <w:u w:val="single"/>
        </w:rPr>
      </w:pPr>
      <w:r w:rsidRPr="00932145">
        <w:rPr>
          <w:rFonts w:ascii="Arial" w:hAnsi="Arial" w:cs="Arial"/>
          <w:szCs w:val="21"/>
        </w:rPr>
        <w:t>D</w:t>
      </w:r>
      <w:r w:rsidR="00213246" w:rsidRPr="00932145">
        <w:rPr>
          <w:rFonts w:ascii="Arial" w:hAnsi="Arial" w:cs="Arial"/>
          <w:szCs w:val="21"/>
          <w:lang w:val="en"/>
        </w:rPr>
        <w:t xml:space="preserve">rugs </w:t>
      </w:r>
      <w:r w:rsidR="00213246" w:rsidRPr="00932145">
        <w:rPr>
          <w:rFonts w:ascii="Arial" w:hAnsi="Arial" w:cs="Arial"/>
          <w:szCs w:val="21"/>
        </w:rPr>
        <w:t>or compounds that can be advanced early to the clinical development stage through drug re-positioning or other techniques.</w:t>
      </w:r>
    </w:p>
    <w:p w:rsidR="007A283E" w:rsidRPr="00932145" w:rsidRDefault="007A283E" w:rsidP="00162DC1">
      <w:pPr>
        <w:pStyle w:val="ListParagraph"/>
        <w:snapToGrid w:val="0"/>
        <w:spacing w:line="0" w:lineRule="atLeast"/>
        <w:ind w:leftChars="0" w:left="360"/>
        <w:rPr>
          <w:rFonts w:ascii="Arial" w:eastAsia="Meiryo UI" w:hAnsi="Arial" w:cs="Arial"/>
          <w:b/>
          <w:szCs w:val="21"/>
          <w:u w:val="single"/>
        </w:rPr>
      </w:pPr>
    </w:p>
    <w:p w:rsidR="003710C8" w:rsidRPr="00932145" w:rsidRDefault="007A283E" w:rsidP="00162DC1">
      <w:pPr>
        <w:pStyle w:val="ListParagraph"/>
        <w:snapToGrid w:val="0"/>
        <w:spacing w:line="0" w:lineRule="atLeast"/>
        <w:ind w:leftChars="0" w:left="420"/>
        <w:rPr>
          <w:rFonts w:ascii="Arial" w:hAnsi="Arial" w:cs="Arial"/>
          <w:szCs w:val="21"/>
          <w:lang w:val="en"/>
        </w:rPr>
      </w:pPr>
      <w:r w:rsidRPr="00932145">
        <w:rPr>
          <w:rFonts w:ascii="Arial" w:hAnsi="Arial" w:cs="Arial"/>
          <w:szCs w:val="21"/>
          <w:lang w:val="en"/>
        </w:rPr>
        <w:lastRenderedPageBreak/>
        <w:t>The above-mentioned drug discovery candidate is a lead compound confirmed to have high activity, and it is desirable to obtain in vivo efficacy data in the NASH model. Modality is low molecular compound, nucleic acid medicine, antibody, peptide medicine etc.</w:t>
      </w:r>
    </w:p>
    <w:p w:rsidR="007A283E" w:rsidRPr="00932145" w:rsidRDefault="007A283E" w:rsidP="00162DC1">
      <w:pPr>
        <w:pStyle w:val="ListParagraph"/>
        <w:snapToGrid w:val="0"/>
        <w:spacing w:line="0" w:lineRule="atLeast"/>
        <w:ind w:leftChars="0" w:left="420"/>
        <w:rPr>
          <w:rFonts w:ascii="Arial" w:eastAsia="Meiryo UI" w:hAnsi="Arial" w:cs="Arial"/>
          <w:szCs w:val="21"/>
        </w:rPr>
      </w:pPr>
    </w:p>
    <w:p w:rsidR="001D6E0E" w:rsidRPr="00932145" w:rsidRDefault="00BE663F" w:rsidP="00162DC1">
      <w:pPr>
        <w:snapToGrid w:val="0"/>
        <w:spacing w:line="0" w:lineRule="atLeast"/>
        <w:rPr>
          <w:rFonts w:eastAsia="Meiryo UI"/>
          <w:b/>
          <w:u w:val="single"/>
        </w:rPr>
      </w:pPr>
      <w:r w:rsidRPr="00932145">
        <w:rPr>
          <w:rFonts w:eastAsia="Meiryo UI"/>
          <w:b/>
          <w:u w:val="single"/>
        </w:rPr>
        <w:t>Irritable bowel syndrome (</w:t>
      </w:r>
      <w:r w:rsidR="001D6E0E" w:rsidRPr="00932145">
        <w:rPr>
          <w:rFonts w:eastAsia="Meiryo UI"/>
          <w:b/>
          <w:u w:val="single"/>
        </w:rPr>
        <w:t>IBS</w:t>
      </w:r>
      <w:r w:rsidRPr="00932145">
        <w:rPr>
          <w:rFonts w:eastAsia="Meiryo UI"/>
          <w:b/>
          <w:u w:val="single"/>
        </w:rPr>
        <w:t>)</w:t>
      </w:r>
    </w:p>
    <w:p w:rsidR="00D32A33" w:rsidRPr="00932145" w:rsidRDefault="00B22765" w:rsidP="00D32A33">
      <w:pPr>
        <w:pStyle w:val="ListParagraph"/>
        <w:numPr>
          <w:ilvl w:val="0"/>
          <w:numId w:val="34"/>
        </w:numPr>
        <w:spacing w:line="0" w:lineRule="atLeast"/>
        <w:ind w:leftChars="0" w:left="357" w:hanging="357"/>
        <w:rPr>
          <w:rFonts w:ascii="Arial" w:hAnsi="Arial" w:cs="Arial"/>
          <w:szCs w:val="21"/>
          <w:lang w:val="en"/>
        </w:rPr>
      </w:pPr>
      <w:r w:rsidRPr="00932145">
        <w:rPr>
          <w:rFonts w:ascii="Arial" w:hAnsi="Arial" w:cs="Arial"/>
          <w:szCs w:val="21"/>
          <w:lang w:val="en"/>
        </w:rPr>
        <w:t>New d</w:t>
      </w:r>
      <w:r w:rsidR="007A283E" w:rsidRPr="00932145">
        <w:rPr>
          <w:rFonts w:ascii="Arial" w:hAnsi="Arial" w:cs="Arial"/>
          <w:szCs w:val="21"/>
          <w:lang w:val="en"/>
        </w:rPr>
        <w:t>rug targets or drug candidates expected to improve</w:t>
      </w:r>
      <w:r w:rsidR="00D32A33" w:rsidRPr="00932145">
        <w:rPr>
          <w:rFonts w:ascii="Arial" w:hAnsi="Arial" w:cs="Arial"/>
          <w:szCs w:val="21"/>
          <w:lang w:val="en"/>
        </w:rPr>
        <w:t xml:space="preserve"> IBS abdominal pain by </w:t>
      </w:r>
      <w:r w:rsidR="00F541B7">
        <w:rPr>
          <w:rFonts w:ascii="Arial" w:hAnsi="Arial" w:cs="Arial"/>
          <w:szCs w:val="21"/>
          <w:lang w:val="en"/>
        </w:rPr>
        <w:t>ameliorating</w:t>
      </w:r>
      <w:r w:rsidR="00D32A33" w:rsidRPr="00932145">
        <w:rPr>
          <w:rFonts w:ascii="Arial" w:hAnsi="Arial" w:cs="Arial"/>
          <w:szCs w:val="21"/>
          <w:lang w:val="en"/>
        </w:rPr>
        <w:t xml:space="preserve"> a central nervous system (CNS) abnormality (eg central </w:t>
      </w:r>
      <w:r w:rsidR="00F541B7">
        <w:rPr>
          <w:rFonts w:ascii="Arial" w:hAnsi="Arial" w:cs="Arial"/>
          <w:szCs w:val="21"/>
          <w:lang w:val="en"/>
        </w:rPr>
        <w:t>sensitization</w:t>
      </w:r>
      <w:r w:rsidR="00D32A33" w:rsidRPr="00932145">
        <w:rPr>
          <w:rFonts w:ascii="Arial" w:hAnsi="Arial" w:cs="Arial"/>
          <w:szCs w:val="21"/>
          <w:lang w:val="en"/>
        </w:rPr>
        <w:t>) without adverse</w:t>
      </w:r>
      <w:r w:rsidR="007A283E" w:rsidRPr="00932145">
        <w:rPr>
          <w:rFonts w:ascii="Arial" w:hAnsi="Arial" w:cs="Arial"/>
          <w:szCs w:val="21"/>
          <w:lang w:val="en"/>
        </w:rPr>
        <w:t xml:space="preserve"> effects of diarrhea or constipation</w:t>
      </w:r>
      <w:r w:rsidR="00D32A33" w:rsidRPr="00932145">
        <w:rPr>
          <w:rFonts w:ascii="Arial" w:hAnsi="Arial" w:cs="Arial"/>
          <w:szCs w:val="21"/>
          <w:lang w:val="en"/>
        </w:rPr>
        <w:t>.</w:t>
      </w:r>
      <w:r w:rsidRPr="00932145">
        <w:rPr>
          <w:rFonts w:ascii="Arial" w:hAnsi="Arial" w:cs="Arial"/>
          <w:szCs w:val="21"/>
          <w:lang w:val="en"/>
        </w:rPr>
        <w:t xml:space="preserve"> </w:t>
      </w:r>
    </w:p>
    <w:p w:rsidR="00D32A33" w:rsidRPr="00932145" w:rsidRDefault="00D32A33" w:rsidP="00D32A33">
      <w:pPr>
        <w:pStyle w:val="ListParagraph"/>
        <w:spacing w:line="0" w:lineRule="atLeast"/>
        <w:ind w:leftChars="0" w:left="357"/>
        <w:rPr>
          <w:rFonts w:ascii="Arial" w:hAnsi="Arial" w:cs="Arial"/>
          <w:szCs w:val="21"/>
          <w:lang w:val="en"/>
        </w:rPr>
      </w:pPr>
    </w:p>
    <w:p w:rsidR="00A142B3" w:rsidRPr="00932145" w:rsidRDefault="00A142B3" w:rsidP="00D32A33">
      <w:pPr>
        <w:pStyle w:val="ListParagraph"/>
        <w:spacing w:line="0" w:lineRule="atLeast"/>
        <w:ind w:leftChars="0" w:left="357"/>
        <w:rPr>
          <w:rFonts w:ascii="Arial" w:hAnsi="Arial" w:cs="Arial"/>
          <w:szCs w:val="21"/>
          <w:lang w:val="en"/>
        </w:rPr>
      </w:pPr>
      <w:r w:rsidRPr="00932145">
        <w:rPr>
          <w:rFonts w:ascii="Arial" w:hAnsi="Arial" w:cs="Arial"/>
          <w:szCs w:val="21"/>
          <w:lang w:val="en"/>
        </w:rPr>
        <w:t>I</w:t>
      </w:r>
      <w:r w:rsidRPr="00932145">
        <w:rPr>
          <w:rFonts w:ascii="Arial" w:hAnsi="Arial" w:cs="Arial"/>
          <w:lang w:val="en"/>
        </w:rPr>
        <w:t>t is desirable that new drug targets or drug candidate</w:t>
      </w:r>
      <w:r w:rsidR="00F541B7">
        <w:rPr>
          <w:rFonts w:ascii="Arial" w:hAnsi="Arial" w:cs="Arial"/>
          <w:lang w:val="en"/>
        </w:rPr>
        <w:t>s have been shown to improve or supposed to improve</w:t>
      </w:r>
      <w:r w:rsidRPr="00932145">
        <w:rPr>
          <w:rFonts w:ascii="Arial" w:hAnsi="Arial" w:cs="Arial"/>
          <w:lang w:val="en"/>
        </w:rPr>
        <w:t xml:space="preserve"> either diarrhea or constipation, in addition to abdominal pain improvement.</w:t>
      </w:r>
    </w:p>
    <w:p w:rsidR="00A142B3" w:rsidRPr="00932145" w:rsidRDefault="00A142B3" w:rsidP="00D32A33">
      <w:pPr>
        <w:pStyle w:val="ListParagraph"/>
        <w:spacing w:line="0" w:lineRule="atLeast"/>
        <w:ind w:leftChars="0" w:left="357"/>
        <w:rPr>
          <w:rFonts w:ascii="Arial" w:hAnsi="Arial" w:cs="Arial"/>
          <w:szCs w:val="21"/>
          <w:lang w:val="en"/>
        </w:rPr>
      </w:pPr>
    </w:p>
    <w:p w:rsidR="00E21534" w:rsidRPr="00932145" w:rsidRDefault="007A283E" w:rsidP="00D32A33">
      <w:pPr>
        <w:pStyle w:val="ListParagraph"/>
        <w:spacing w:line="0" w:lineRule="atLeast"/>
        <w:ind w:leftChars="0" w:left="357"/>
        <w:rPr>
          <w:rFonts w:ascii="Arial" w:hAnsi="Arial" w:cs="Arial"/>
          <w:szCs w:val="21"/>
          <w:lang w:val="en"/>
        </w:rPr>
      </w:pPr>
      <w:r w:rsidRPr="00932145">
        <w:rPr>
          <w:rFonts w:ascii="Arial" w:hAnsi="Arial" w:cs="Arial"/>
          <w:szCs w:val="21"/>
          <w:lang w:val="en"/>
        </w:rPr>
        <w:t>In ad</w:t>
      </w:r>
      <w:r w:rsidR="00B22765" w:rsidRPr="00932145">
        <w:rPr>
          <w:rFonts w:ascii="Arial" w:hAnsi="Arial" w:cs="Arial"/>
          <w:szCs w:val="21"/>
          <w:lang w:val="en"/>
        </w:rPr>
        <w:t xml:space="preserve">dition, it is desirable to be a </w:t>
      </w:r>
      <w:r w:rsidR="00A142B3" w:rsidRPr="00932145">
        <w:rPr>
          <w:rFonts w:ascii="Arial" w:hAnsi="Arial" w:cs="Arial"/>
          <w:szCs w:val="21"/>
          <w:lang w:val="en"/>
        </w:rPr>
        <w:t xml:space="preserve">new </w:t>
      </w:r>
      <w:r w:rsidRPr="00932145">
        <w:rPr>
          <w:rFonts w:ascii="Arial" w:hAnsi="Arial" w:cs="Arial"/>
          <w:szCs w:val="21"/>
          <w:lang w:val="en"/>
        </w:rPr>
        <w:t>drug target or a drug candidate that can improve the abnormality of CNS as a result of peripheral tissue, peripheral nerve as the primary target, not the CNS itself.</w:t>
      </w:r>
    </w:p>
    <w:p w:rsidR="00F9281A" w:rsidRPr="00932145" w:rsidRDefault="00F9281A" w:rsidP="00F9281A">
      <w:pPr>
        <w:spacing w:line="0" w:lineRule="atLeast"/>
        <w:rPr>
          <w:rFonts w:eastAsia="Meiryo UI"/>
        </w:rPr>
      </w:pPr>
    </w:p>
    <w:p w:rsidR="007A283E" w:rsidRPr="00932145" w:rsidRDefault="007A283E" w:rsidP="00162DC1">
      <w:pPr>
        <w:spacing w:line="0" w:lineRule="atLeast"/>
        <w:jc w:val="left"/>
        <w:rPr>
          <w:lang w:val="en"/>
        </w:rPr>
      </w:pPr>
      <w:r w:rsidRPr="00932145">
        <w:rPr>
          <w:lang w:val="en"/>
        </w:rPr>
        <w:t xml:space="preserve">With respect to the above </w:t>
      </w:r>
      <w:r w:rsidR="002457A7" w:rsidRPr="00932145">
        <w:rPr>
          <w:lang w:val="en"/>
        </w:rPr>
        <w:t xml:space="preserve">new </w:t>
      </w:r>
      <w:r w:rsidRPr="00932145">
        <w:rPr>
          <w:lang w:val="en"/>
        </w:rPr>
        <w:t>drug target, priority is given to molecular targets suggested to be directly or indirectly related to clinical pathology</w:t>
      </w:r>
      <w:r w:rsidR="00F9281A" w:rsidRPr="00932145">
        <w:rPr>
          <w:lang w:val="en"/>
        </w:rPr>
        <w:t xml:space="preserve"> of IBS</w:t>
      </w:r>
      <w:r w:rsidRPr="00932145">
        <w:rPr>
          <w:lang w:val="en"/>
        </w:rPr>
        <w:t>, excluding probiotics, prebiotics, synbiotics and food ingredients</w:t>
      </w:r>
    </w:p>
    <w:p w:rsidR="00F9281A" w:rsidRPr="00932145" w:rsidRDefault="00F9281A" w:rsidP="00162DC1">
      <w:pPr>
        <w:spacing w:line="0" w:lineRule="atLeast"/>
        <w:jc w:val="left"/>
        <w:rPr>
          <w:lang w:val="en"/>
        </w:rPr>
      </w:pPr>
    </w:p>
    <w:p w:rsidR="004F69E3" w:rsidRPr="00932145" w:rsidRDefault="004F69E3" w:rsidP="00162DC1">
      <w:pPr>
        <w:spacing w:line="0" w:lineRule="atLeast"/>
        <w:rPr>
          <w:rFonts w:eastAsia="Meiryo UI"/>
        </w:rPr>
      </w:pPr>
    </w:p>
    <w:p w:rsidR="00BE663F" w:rsidRPr="00932145" w:rsidRDefault="00F26AC7" w:rsidP="00162DC1">
      <w:pPr>
        <w:spacing w:line="0" w:lineRule="atLeast"/>
        <w:rPr>
          <w:rFonts w:eastAsia="Meiryo UI"/>
          <w:b/>
          <w:u w:val="single"/>
        </w:rPr>
      </w:pPr>
      <w:r w:rsidRPr="00932145">
        <w:rPr>
          <w:rFonts w:eastAsia="Meiryo UI"/>
          <w:b/>
          <w:u w:val="single"/>
        </w:rPr>
        <w:t>NSAIDs-induced mucosal injury in small intestine</w:t>
      </w:r>
    </w:p>
    <w:p w:rsidR="00F55BC5" w:rsidRPr="00932145" w:rsidRDefault="00F55BC5" w:rsidP="00F55BC5">
      <w:pPr>
        <w:pStyle w:val="ListParagraph"/>
        <w:numPr>
          <w:ilvl w:val="0"/>
          <w:numId w:val="35"/>
        </w:numPr>
        <w:spacing w:line="0" w:lineRule="atLeast"/>
        <w:ind w:leftChars="0"/>
        <w:rPr>
          <w:rFonts w:ascii="Arial" w:hAnsi="Arial" w:cs="Arial"/>
          <w:szCs w:val="21"/>
          <w:lang w:val="en"/>
        </w:rPr>
      </w:pPr>
      <w:r w:rsidRPr="00932145">
        <w:rPr>
          <w:rFonts w:ascii="Arial" w:hAnsi="Arial" w:cs="Arial"/>
          <w:lang w:val="en"/>
        </w:rPr>
        <w:t>New drug discovery candidates or drug targets that are expected to have preventive or therapeutic effects through action on mucosal epithelial barrier, mucosal blood flow, intestinal bacteria, etc. against small intestinal mucosal injury caused by chronic use of NSAIDs or low dose aspirin.</w:t>
      </w:r>
    </w:p>
    <w:p w:rsidR="003F0C70" w:rsidRPr="00932145" w:rsidRDefault="003F0C70" w:rsidP="00162DC1">
      <w:pPr>
        <w:pStyle w:val="ListParagraph"/>
        <w:spacing w:line="0" w:lineRule="atLeast"/>
        <w:ind w:leftChars="0" w:left="360"/>
        <w:rPr>
          <w:rFonts w:ascii="Arial" w:hAnsi="Arial" w:cs="Arial"/>
          <w:szCs w:val="21"/>
          <w:lang w:val="en"/>
        </w:rPr>
      </w:pPr>
    </w:p>
    <w:p w:rsidR="00283F49" w:rsidRPr="00932145" w:rsidRDefault="003F0C70" w:rsidP="00283F49">
      <w:pPr>
        <w:pStyle w:val="ListParagraph"/>
        <w:spacing w:line="0" w:lineRule="atLeast"/>
        <w:ind w:leftChars="0" w:left="360"/>
        <w:rPr>
          <w:rFonts w:ascii="Arial" w:hAnsi="Arial" w:cs="Arial"/>
          <w:szCs w:val="21"/>
          <w:lang w:val="en"/>
        </w:rPr>
      </w:pPr>
      <w:r w:rsidRPr="00932145">
        <w:rPr>
          <w:rFonts w:ascii="Arial" w:hAnsi="Arial" w:cs="Arial"/>
          <w:lang w:val="en"/>
        </w:rPr>
        <w:t>It is desirable that the drug candidate has a clear target molecule. Drug targets should be expected to be safe without adverse effects such as influence on immune function and diarrhea.</w:t>
      </w:r>
    </w:p>
    <w:p w:rsidR="00283F49" w:rsidRPr="00932145" w:rsidRDefault="00283F49" w:rsidP="00162DC1">
      <w:pPr>
        <w:snapToGrid w:val="0"/>
        <w:spacing w:line="0" w:lineRule="atLeast"/>
        <w:rPr>
          <w:lang w:val="en"/>
        </w:rPr>
      </w:pPr>
    </w:p>
    <w:p w:rsidR="00283F49" w:rsidRPr="00932145" w:rsidRDefault="00283F49" w:rsidP="00162DC1">
      <w:pPr>
        <w:snapToGrid w:val="0"/>
        <w:spacing w:line="0" w:lineRule="atLeast"/>
        <w:rPr>
          <w:lang w:val="en"/>
        </w:rPr>
      </w:pPr>
      <w:r w:rsidRPr="00932145">
        <w:rPr>
          <w:lang w:val="en"/>
        </w:rPr>
        <w:t>Excluding prostaglandin supplements (such as PGE derivatives), antibiotics, improving agents of NSAIDs (improvement of formulation, novel anti-inflammatory analgesic targets that do not cause mucosal injury, etc.), probiotics, prebiotics, synbiotics and food ingredients.</w:t>
      </w:r>
    </w:p>
    <w:p w:rsidR="007A283E" w:rsidRPr="00932145" w:rsidRDefault="007A283E" w:rsidP="00162DC1">
      <w:pPr>
        <w:snapToGrid w:val="0"/>
        <w:spacing w:line="0" w:lineRule="atLeast"/>
        <w:rPr>
          <w:lang w:val="en"/>
        </w:rPr>
      </w:pPr>
    </w:p>
    <w:p w:rsidR="007A283E" w:rsidRPr="00932145" w:rsidRDefault="007A283E" w:rsidP="00162DC1">
      <w:pPr>
        <w:snapToGrid w:val="0"/>
        <w:spacing w:line="0" w:lineRule="atLeast"/>
        <w:rPr>
          <w:rFonts w:eastAsia="Meiryo UI"/>
          <w:u w:val="single"/>
        </w:rPr>
      </w:pPr>
    </w:p>
    <w:p w:rsidR="007A283E" w:rsidRPr="00932145" w:rsidRDefault="007A283E" w:rsidP="00162DC1">
      <w:pPr>
        <w:spacing w:line="0" w:lineRule="atLeast"/>
        <w:jc w:val="left"/>
        <w:rPr>
          <w:b/>
          <w:u w:val="single"/>
          <w:lang w:val="en"/>
        </w:rPr>
      </w:pPr>
      <w:r w:rsidRPr="00932145">
        <w:rPr>
          <w:b/>
          <w:u w:val="single"/>
          <w:lang w:val="en"/>
        </w:rPr>
        <w:t>Gastrointestinal adverse effects by treatment of other diseases</w:t>
      </w:r>
    </w:p>
    <w:p w:rsidR="00F26AC7" w:rsidRPr="00932145" w:rsidRDefault="00D56513" w:rsidP="00162DC1">
      <w:pPr>
        <w:pStyle w:val="ListParagraph"/>
        <w:numPr>
          <w:ilvl w:val="0"/>
          <w:numId w:val="36"/>
        </w:numPr>
        <w:snapToGrid w:val="0"/>
        <w:spacing w:line="0" w:lineRule="atLeast"/>
        <w:ind w:leftChars="0"/>
        <w:rPr>
          <w:rFonts w:ascii="Arial" w:hAnsi="Arial" w:cs="Arial"/>
          <w:szCs w:val="21"/>
          <w:lang w:val="en"/>
        </w:rPr>
      </w:pPr>
      <w:r w:rsidRPr="00932145">
        <w:rPr>
          <w:rFonts w:ascii="Arial" w:hAnsi="Arial" w:cs="Arial"/>
          <w:szCs w:val="21"/>
          <w:lang w:val="en"/>
        </w:rPr>
        <w:t xml:space="preserve">Drug </w:t>
      </w:r>
      <w:r w:rsidR="007A283E" w:rsidRPr="00932145">
        <w:rPr>
          <w:rFonts w:ascii="Arial" w:hAnsi="Arial" w:cs="Arial"/>
          <w:szCs w:val="21"/>
          <w:lang w:val="en"/>
        </w:rPr>
        <w:t xml:space="preserve">candidates </w:t>
      </w:r>
      <w:r w:rsidRPr="00932145">
        <w:rPr>
          <w:rFonts w:ascii="Arial" w:hAnsi="Arial" w:cs="Arial"/>
          <w:szCs w:val="21"/>
          <w:lang w:val="en"/>
        </w:rPr>
        <w:t xml:space="preserve">that are </w:t>
      </w:r>
      <w:r w:rsidR="007A283E" w:rsidRPr="00932145">
        <w:rPr>
          <w:rFonts w:ascii="Arial" w:hAnsi="Arial" w:cs="Arial"/>
          <w:szCs w:val="21"/>
          <w:lang w:val="en"/>
        </w:rPr>
        <w:t xml:space="preserve">expected to be </w:t>
      </w:r>
      <w:r w:rsidRPr="00932145">
        <w:rPr>
          <w:rFonts w:ascii="Arial" w:hAnsi="Arial" w:cs="Arial"/>
          <w:szCs w:val="21"/>
          <w:lang w:val="en"/>
        </w:rPr>
        <w:t>exert a</w:t>
      </w:r>
      <w:r w:rsidR="007A283E" w:rsidRPr="00932145">
        <w:rPr>
          <w:rFonts w:ascii="Arial" w:hAnsi="Arial" w:cs="Arial"/>
          <w:szCs w:val="21"/>
          <w:lang w:val="en"/>
        </w:rPr>
        <w:t xml:space="preserve"> preventive or therapeutic effects </w:t>
      </w:r>
      <w:r w:rsidRPr="00932145">
        <w:rPr>
          <w:rFonts w:ascii="Arial" w:hAnsi="Arial" w:cs="Arial"/>
          <w:szCs w:val="21"/>
          <w:lang w:val="en"/>
        </w:rPr>
        <w:t>against</w:t>
      </w:r>
      <w:r w:rsidR="007A283E" w:rsidRPr="00932145">
        <w:rPr>
          <w:rFonts w:ascii="Arial" w:hAnsi="Arial" w:cs="Arial"/>
          <w:szCs w:val="21"/>
          <w:lang w:val="en"/>
        </w:rPr>
        <w:t xml:space="preserve"> </w:t>
      </w:r>
      <w:r w:rsidRPr="00932145">
        <w:rPr>
          <w:rFonts w:ascii="Arial" w:hAnsi="Arial" w:cs="Arial"/>
          <w:szCs w:val="21"/>
          <w:lang w:val="en"/>
        </w:rPr>
        <w:t>gastrointestinal adverse</w:t>
      </w:r>
      <w:r w:rsidR="007A283E" w:rsidRPr="00932145">
        <w:rPr>
          <w:rFonts w:ascii="Arial" w:hAnsi="Arial" w:cs="Arial"/>
          <w:szCs w:val="21"/>
          <w:lang w:val="en"/>
        </w:rPr>
        <w:t xml:space="preserve"> effects </w:t>
      </w:r>
      <w:r w:rsidRPr="00932145">
        <w:rPr>
          <w:rFonts w:ascii="Arial" w:hAnsi="Arial" w:cs="Arial"/>
          <w:szCs w:val="21"/>
          <w:lang w:val="en"/>
        </w:rPr>
        <w:t>caused</w:t>
      </w:r>
      <w:r w:rsidR="007A283E" w:rsidRPr="00932145">
        <w:rPr>
          <w:rFonts w:ascii="Arial" w:hAnsi="Arial" w:cs="Arial"/>
          <w:szCs w:val="21"/>
          <w:lang w:val="en"/>
        </w:rPr>
        <w:t xml:space="preserve"> by treatment of various diseases including cancer</w:t>
      </w:r>
      <w:r w:rsidRPr="00932145">
        <w:rPr>
          <w:rFonts w:ascii="Arial" w:hAnsi="Arial" w:cs="Arial"/>
          <w:szCs w:val="21"/>
          <w:lang w:val="en"/>
        </w:rPr>
        <w:t xml:space="preserve"> (such as anticancer agent-induced mucosal </w:t>
      </w:r>
      <w:r w:rsidR="00283F49" w:rsidRPr="00932145">
        <w:rPr>
          <w:rFonts w:ascii="Arial" w:hAnsi="Arial" w:cs="Arial"/>
          <w:szCs w:val="21"/>
          <w:lang w:val="en"/>
        </w:rPr>
        <w:t>injury</w:t>
      </w:r>
      <w:r w:rsidRPr="00932145">
        <w:rPr>
          <w:rFonts w:ascii="Arial" w:hAnsi="Arial" w:cs="Arial"/>
          <w:szCs w:val="21"/>
          <w:lang w:val="en"/>
        </w:rPr>
        <w:t>).</w:t>
      </w:r>
    </w:p>
    <w:p w:rsidR="007A283E" w:rsidRPr="00932145" w:rsidRDefault="007A283E" w:rsidP="00162DC1">
      <w:pPr>
        <w:pStyle w:val="ListParagraph"/>
        <w:snapToGrid w:val="0"/>
        <w:spacing w:line="0" w:lineRule="atLeast"/>
        <w:ind w:leftChars="0" w:left="360"/>
        <w:rPr>
          <w:rFonts w:ascii="Arial" w:eastAsia="Meiryo UI" w:hAnsi="Arial" w:cs="Arial"/>
          <w:szCs w:val="21"/>
        </w:rPr>
      </w:pPr>
    </w:p>
    <w:p w:rsidR="00B32931" w:rsidRPr="00932145" w:rsidRDefault="00B32931" w:rsidP="00162DC1">
      <w:pPr>
        <w:spacing w:line="0" w:lineRule="atLeast"/>
        <w:jc w:val="left"/>
        <w:rPr>
          <w:lang w:val="en"/>
        </w:rPr>
      </w:pPr>
      <w:r w:rsidRPr="00932145">
        <w:rPr>
          <w:lang w:val="en"/>
        </w:rPr>
        <w:t xml:space="preserve">The drug discovery candidates mentioned above should be clinical development products prior to the clinical </w:t>
      </w:r>
      <w:r w:rsidR="000523FE">
        <w:rPr>
          <w:lang w:val="en"/>
        </w:rPr>
        <w:t>proof of concept (</w:t>
      </w:r>
      <w:r w:rsidRPr="00932145">
        <w:rPr>
          <w:lang w:val="en"/>
        </w:rPr>
        <w:t>PoC</w:t>
      </w:r>
      <w:r w:rsidR="000523FE">
        <w:rPr>
          <w:lang w:val="en"/>
        </w:rPr>
        <w:t>)</w:t>
      </w:r>
      <w:r w:rsidRPr="00932145">
        <w:rPr>
          <w:lang w:val="en"/>
        </w:rPr>
        <w:t xml:space="preserve"> study or candidates for nonclinical development which have already completed or are implementing the GLP study.</w:t>
      </w:r>
    </w:p>
    <w:p w:rsidR="007A283E" w:rsidRPr="00932145" w:rsidRDefault="007A283E" w:rsidP="00162DC1">
      <w:pPr>
        <w:spacing w:line="0" w:lineRule="atLeast"/>
        <w:jc w:val="left"/>
      </w:pPr>
    </w:p>
    <w:p w:rsidR="00164445" w:rsidRPr="00932145" w:rsidRDefault="00164445" w:rsidP="00162DC1">
      <w:pPr>
        <w:snapToGrid w:val="0"/>
        <w:spacing w:line="0" w:lineRule="atLeast"/>
        <w:rPr>
          <w:rFonts w:eastAsia="Meiryo UI"/>
        </w:rPr>
      </w:pPr>
    </w:p>
    <w:p w:rsidR="007A283E" w:rsidRPr="00932145" w:rsidRDefault="007A283E" w:rsidP="00162DC1">
      <w:pPr>
        <w:snapToGrid w:val="0"/>
        <w:spacing w:line="0" w:lineRule="atLeast"/>
        <w:rPr>
          <w:rStyle w:val="shorttext"/>
          <w:rFonts w:eastAsia="Meiryo UI"/>
          <w:b/>
          <w:u w:val="single"/>
        </w:rPr>
      </w:pPr>
      <w:r w:rsidRPr="00932145">
        <w:rPr>
          <w:rStyle w:val="shorttext"/>
          <w:b/>
          <w:u w:val="single"/>
          <w:lang w:val="en"/>
        </w:rPr>
        <w:t xml:space="preserve">Other </w:t>
      </w:r>
      <w:r w:rsidR="00162DC1" w:rsidRPr="00932145">
        <w:rPr>
          <w:rStyle w:val="shorttext"/>
          <w:b/>
          <w:u w:val="single"/>
          <w:lang w:val="en"/>
        </w:rPr>
        <w:t xml:space="preserve">gastrointestinal </w:t>
      </w:r>
      <w:r w:rsidRPr="00932145">
        <w:rPr>
          <w:rStyle w:val="shorttext"/>
          <w:b/>
          <w:u w:val="single"/>
          <w:lang w:val="en"/>
        </w:rPr>
        <w:t>diseases</w:t>
      </w:r>
      <w:r w:rsidR="003D1313" w:rsidRPr="00932145">
        <w:rPr>
          <w:rStyle w:val="shorttext"/>
          <w:b/>
          <w:u w:val="single"/>
          <w:lang w:val="en"/>
        </w:rPr>
        <w:t xml:space="preserve"> (Excluding oncology)</w:t>
      </w:r>
    </w:p>
    <w:p w:rsidR="003D1313" w:rsidRPr="00932145" w:rsidRDefault="003D1313" w:rsidP="003D1313">
      <w:pPr>
        <w:spacing w:line="0" w:lineRule="atLeast"/>
      </w:pPr>
      <w:r w:rsidRPr="00932145">
        <w:t>Drug candidates or new drug targets that are expected to exert a therapeutic effect against gastrointestinal diseases (e.g. chronic pancreatitis and rare gastrointestinal diseases), for which patients have not been satisfied with treatments.</w:t>
      </w:r>
    </w:p>
    <w:p w:rsidR="00162DC1" w:rsidRPr="00932145" w:rsidRDefault="00162DC1">
      <w:pPr>
        <w:jc w:val="left"/>
        <w:rPr>
          <w:lang w:val="en"/>
        </w:rPr>
      </w:pPr>
    </w:p>
    <w:p w:rsidR="00253200" w:rsidRPr="00932145" w:rsidRDefault="00253200" w:rsidP="00162DC1">
      <w:pPr>
        <w:spacing w:line="0" w:lineRule="atLeast"/>
        <w:rPr>
          <w:lang w:val="en"/>
        </w:rPr>
      </w:pPr>
    </w:p>
    <w:p w:rsidR="007A283E" w:rsidRPr="00932145" w:rsidRDefault="007A283E" w:rsidP="00162DC1">
      <w:pPr>
        <w:spacing w:line="0" w:lineRule="atLeast"/>
        <w:rPr>
          <w:rFonts w:eastAsia="Meiryo UI"/>
        </w:rPr>
      </w:pPr>
    </w:p>
    <w:p w:rsidR="007A283E" w:rsidRDefault="00932145" w:rsidP="00162DC1">
      <w:pPr>
        <w:pStyle w:val="ListParagraph"/>
        <w:numPr>
          <w:ilvl w:val="0"/>
          <w:numId w:val="25"/>
        </w:numPr>
        <w:spacing w:line="0" w:lineRule="atLeast"/>
        <w:ind w:leftChars="0"/>
        <w:jc w:val="center"/>
        <w:rPr>
          <w:rFonts w:ascii="Arial" w:hAnsi="Arial" w:cs="Arial"/>
          <w:b/>
          <w:sz w:val="28"/>
        </w:rPr>
      </w:pPr>
      <w:r>
        <w:rPr>
          <w:rFonts w:ascii="Arial" w:hAnsi="Arial" w:cs="Arial"/>
          <w:b/>
          <w:sz w:val="28"/>
        </w:rPr>
        <w:t>Technology</w:t>
      </w:r>
      <w:r w:rsidR="007A283E" w:rsidRPr="00932145">
        <w:rPr>
          <w:rFonts w:ascii="Arial" w:hAnsi="Arial" w:cs="Arial"/>
          <w:b/>
          <w:sz w:val="28"/>
        </w:rPr>
        <w:t xml:space="preserve"> project </w:t>
      </w:r>
      <w:r>
        <w:rPr>
          <w:rFonts w:ascii="Arial" w:hAnsi="Arial" w:cs="Arial"/>
          <w:b/>
          <w:sz w:val="28"/>
        </w:rPr>
        <w:t>related to</w:t>
      </w:r>
      <w:r w:rsidR="007A283E" w:rsidRPr="00932145">
        <w:rPr>
          <w:rFonts w:ascii="Arial" w:hAnsi="Arial" w:cs="Arial"/>
          <w:b/>
          <w:sz w:val="28"/>
        </w:rPr>
        <w:t xml:space="preserve"> diseases</w:t>
      </w:r>
    </w:p>
    <w:p w:rsidR="00932145" w:rsidRDefault="00932145" w:rsidP="00932145">
      <w:pPr>
        <w:spacing w:line="0" w:lineRule="atLeast"/>
        <w:jc w:val="center"/>
        <w:rPr>
          <w:b/>
          <w:sz w:val="28"/>
        </w:rPr>
      </w:pPr>
    </w:p>
    <w:p w:rsidR="00C70E20" w:rsidRPr="00932145" w:rsidRDefault="00C70E20" w:rsidP="00162DC1">
      <w:pPr>
        <w:snapToGrid w:val="0"/>
        <w:spacing w:line="0" w:lineRule="atLeast"/>
        <w:rPr>
          <w:rFonts w:eastAsia="Meiryo UI"/>
          <w:b/>
        </w:rPr>
      </w:pPr>
    </w:p>
    <w:p w:rsidR="00E65C9E" w:rsidRPr="00932145" w:rsidRDefault="00E65C9E" w:rsidP="00162DC1">
      <w:pPr>
        <w:snapToGrid w:val="0"/>
        <w:spacing w:line="0" w:lineRule="atLeast"/>
        <w:rPr>
          <w:rFonts w:eastAsia="Meiryo UI"/>
          <w:b/>
          <w:u w:val="single"/>
        </w:rPr>
      </w:pPr>
      <w:r w:rsidRPr="00932145">
        <w:rPr>
          <w:rFonts w:eastAsia="Meiryo UI"/>
          <w:b/>
          <w:u w:val="single"/>
        </w:rPr>
        <w:t>Non-alcoholic steatohepatitis (NASH)</w:t>
      </w:r>
    </w:p>
    <w:p w:rsidR="007A283E" w:rsidRPr="00932145" w:rsidRDefault="00A561C4" w:rsidP="00162DC1">
      <w:pPr>
        <w:pStyle w:val="ListParagraph"/>
        <w:numPr>
          <w:ilvl w:val="0"/>
          <w:numId w:val="37"/>
        </w:numPr>
        <w:spacing w:line="0" w:lineRule="atLeast"/>
        <w:ind w:leftChars="0"/>
        <w:rPr>
          <w:rFonts w:ascii="Arial" w:hAnsi="Arial" w:cs="Arial"/>
          <w:szCs w:val="21"/>
          <w:lang w:val="en"/>
        </w:rPr>
      </w:pPr>
      <w:r w:rsidRPr="00932145">
        <w:rPr>
          <w:rFonts w:ascii="Arial" w:hAnsi="Arial" w:cs="Arial"/>
          <w:szCs w:val="21"/>
        </w:rPr>
        <w:t>New in vitro assay techniques mimicking human liver and reflecting the pathophysiology of NASH, such as fibrosis in humans.</w:t>
      </w:r>
    </w:p>
    <w:p w:rsidR="007A283E" w:rsidRPr="00932145" w:rsidRDefault="00CB501C" w:rsidP="00162DC1">
      <w:pPr>
        <w:pStyle w:val="ListParagraph"/>
        <w:numPr>
          <w:ilvl w:val="0"/>
          <w:numId w:val="37"/>
        </w:numPr>
        <w:spacing w:line="0" w:lineRule="atLeast"/>
        <w:ind w:leftChars="0"/>
        <w:rPr>
          <w:rFonts w:ascii="Arial" w:hAnsi="Arial" w:cs="Arial"/>
          <w:szCs w:val="21"/>
          <w:lang w:val="en"/>
        </w:rPr>
      </w:pPr>
      <w:r w:rsidRPr="00932145">
        <w:rPr>
          <w:rFonts w:ascii="Arial" w:hAnsi="Arial" w:cs="Arial"/>
          <w:szCs w:val="21"/>
        </w:rPr>
        <w:t>New simple techniques to identify progression of fibrosis in NASH.</w:t>
      </w:r>
    </w:p>
    <w:p w:rsidR="007A283E" w:rsidRPr="00932145" w:rsidRDefault="00CB501C" w:rsidP="00162DC1">
      <w:pPr>
        <w:pStyle w:val="ListParagraph"/>
        <w:numPr>
          <w:ilvl w:val="0"/>
          <w:numId w:val="37"/>
        </w:numPr>
        <w:spacing w:line="0" w:lineRule="atLeast"/>
        <w:ind w:leftChars="0"/>
        <w:rPr>
          <w:rFonts w:ascii="Arial" w:hAnsi="Arial" w:cs="Arial"/>
          <w:szCs w:val="21"/>
          <w:lang w:val="en"/>
        </w:rPr>
      </w:pPr>
      <w:r w:rsidRPr="00932145">
        <w:rPr>
          <w:rFonts w:ascii="Arial" w:hAnsi="Arial" w:cs="Arial"/>
          <w:szCs w:val="21"/>
        </w:rPr>
        <w:t>Biomarkers enabling quantitative determination of symptoms, severity, and prognosis of NASH.</w:t>
      </w:r>
    </w:p>
    <w:p w:rsidR="00652FB5" w:rsidRPr="00932145" w:rsidRDefault="00C81781" w:rsidP="00162DC1">
      <w:pPr>
        <w:pStyle w:val="ListParagraph"/>
        <w:numPr>
          <w:ilvl w:val="0"/>
          <w:numId w:val="37"/>
        </w:numPr>
        <w:spacing w:line="0" w:lineRule="atLeast"/>
        <w:ind w:leftChars="0"/>
        <w:rPr>
          <w:rFonts w:ascii="Arial" w:hAnsi="Arial" w:cs="Arial"/>
          <w:szCs w:val="21"/>
          <w:lang w:val="en"/>
        </w:rPr>
      </w:pPr>
      <w:r w:rsidRPr="00932145">
        <w:rPr>
          <w:rFonts w:ascii="Arial" w:hAnsi="Arial" w:cs="Arial"/>
          <w:szCs w:val="21"/>
          <w:lang w:val="en"/>
        </w:rPr>
        <w:t>T</w:t>
      </w:r>
      <w:r w:rsidR="00F93255" w:rsidRPr="00932145">
        <w:rPr>
          <w:rFonts w:ascii="Arial" w:hAnsi="Arial" w:cs="Arial"/>
          <w:szCs w:val="21"/>
          <w:lang w:val="en"/>
        </w:rPr>
        <w:t>echnologies</w:t>
      </w:r>
      <w:r w:rsidR="007A283E" w:rsidRPr="00932145">
        <w:rPr>
          <w:rFonts w:ascii="Arial" w:hAnsi="Arial" w:cs="Arial"/>
          <w:szCs w:val="21"/>
          <w:lang w:val="en"/>
        </w:rPr>
        <w:t xml:space="preserve"> </w:t>
      </w:r>
      <w:r w:rsidR="00F93255" w:rsidRPr="00932145">
        <w:rPr>
          <w:rFonts w:ascii="Arial" w:hAnsi="Arial" w:cs="Arial"/>
          <w:szCs w:val="21"/>
          <w:lang w:val="en"/>
        </w:rPr>
        <w:t>enabling efficient delivery of</w:t>
      </w:r>
      <w:r w:rsidR="007A283E" w:rsidRPr="00932145">
        <w:rPr>
          <w:rFonts w:ascii="Arial" w:hAnsi="Arial" w:cs="Arial"/>
          <w:szCs w:val="21"/>
          <w:lang w:val="en"/>
        </w:rPr>
        <w:t xml:space="preserve"> nucleic acid to </w:t>
      </w:r>
      <w:r w:rsidR="00F93255" w:rsidRPr="00932145">
        <w:rPr>
          <w:rFonts w:ascii="Arial" w:hAnsi="Arial" w:cs="Arial"/>
          <w:szCs w:val="21"/>
          <w:lang w:val="en"/>
        </w:rPr>
        <w:t xml:space="preserve">the </w:t>
      </w:r>
      <w:r w:rsidR="007A283E" w:rsidRPr="00932145">
        <w:rPr>
          <w:rFonts w:ascii="Arial" w:hAnsi="Arial" w:cs="Arial"/>
          <w:szCs w:val="21"/>
          <w:lang w:val="en"/>
        </w:rPr>
        <w:t xml:space="preserve">cells that can be </w:t>
      </w:r>
      <w:r w:rsidR="00F93255" w:rsidRPr="00932145">
        <w:rPr>
          <w:rFonts w:ascii="Arial" w:hAnsi="Arial" w:cs="Arial"/>
          <w:szCs w:val="21"/>
          <w:lang w:val="en"/>
        </w:rPr>
        <w:t xml:space="preserve">the </w:t>
      </w:r>
      <w:r w:rsidR="007A283E" w:rsidRPr="00932145">
        <w:rPr>
          <w:rFonts w:ascii="Arial" w:hAnsi="Arial" w:cs="Arial"/>
          <w:szCs w:val="21"/>
          <w:lang w:val="en"/>
        </w:rPr>
        <w:t>therapeutic targets of NASH. Specific examples: hepatic stellate cells, immune cells, etc.</w:t>
      </w:r>
    </w:p>
    <w:p w:rsidR="007A283E" w:rsidRPr="00932145" w:rsidRDefault="007A283E" w:rsidP="00162DC1">
      <w:pPr>
        <w:pStyle w:val="ListParagraph"/>
        <w:spacing w:line="0" w:lineRule="atLeast"/>
        <w:ind w:leftChars="0" w:left="360"/>
        <w:rPr>
          <w:rFonts w:ascii="Arial" w:hAnsi="Arial" w:cs="Arial"/>
          <w:szCs w:val="21"/>
          <w:lang w:val="en"/>
        </w:rPr>
      </w:pPr>
    </w:p>
    <w:p w:rsidR="00837BB4" w:rsidRPr="00932145" w:rsidRDefault="00E65C9E" w:rsidP="00162DC1">
      <w:pPr>
        <w:snapToGrid w:val="0"/>
        <w:spacing w:line="0" w:lineRule="atLeast"/>
        <w:rPr>
          <w:rFonts w:eastAsia="Meiryo UI"/>
          <w:b/>
          <w:u w:val="single"/>
        </w:rPr>
      </w:pPr>
      <w:r w:rsidRPr="00932145">
        <w:rPr>
          <w:rFonts w:eastAsia="Meiryo UI"/>
          <w:b/>
          <w:u w:val="single"/>
        </w:rPr>
        <w:t>Irritable bowel syndrome (IBS)</w:t>
      </w:r>
    </w:p>
    <w:p w:rsidR="00C81781" w:rsidRPr="00932145" w:rsidRDefault="00C81781" w:rsidP="00162DC1">
      <w:pPr>
        <w:pStyle w:val="ListParagraph"/>
        <w:numPr>
          <w:ilvl w:val="0"/>
          <w:numId w:val="38"/>
        </w:numPr>
        <w:spacing w:line="0" w:lineRule="atLeast"/>
        <w:ind w:leftChars="0"/>
        <w:rPr>
          <w:rFonts w:ascii="Arial" w:hAnsi="Arial" w:cs="Arial"/>
          <w:szCs w:val="21"/>
          <w:lang w:val="en"/>
        </w:rPr>
      </w:pPr>
      <w:r w:rsidRPr="00932145">
        <w:rPr>
          <w:rFonts w:ascii="Arial" w:hAnsi="Arial" w:cs="Arial"/>
          <w:szCs w:val="21"/>
        </w:rPr>
        <w:t>S</w:t>
      </w:r>
      <w:r w:rsidR="007A283E" w:rsidRPr="00932145">
        <w:rPr>
          <w:rFonts w:ascii="Arial" w:hAnsi="Arial" w:cs="Arial"/>
          <w:szCs w:val="21"/>
          <w:lang w:val="en"/>
        </w:rPr>
        <w:t>imple</w:t>
      </w:r>
      <w:r w:rsidR="00BC6135">
        <w:rPr>
          <w:rFonts w:ascii="Arial" w:hAnsi="Arial" w:cs="Arial"/>
          <w:szCs w:val="21"/>
          <w:lang w:val="en"/>
        </w:rPr>
        <w:t xml:space="preserve"> and non-invasive</w:t>
      </w:r>
      <w:r w:rsidR="007A283E" w:rsidRPr="00932145">
        <w:rPr>
          <w:rFonts w:ascii="Arial" w:hAnsi="Arial" w:cs="Arial"/>
          <w:szCs w:val="21"/>
          <w:lang w:val="en"/>
        </w:rPr>
        <w:t xml:space="preserve"> biomarkers that can </w:t>
      </w:r>
      <w:r w:rsidR="00BC6135">
        <w:rPr>
          <w:rFonts w:ascii="Arial" w:hAnsi="Arial" w:cs="Arial"/>
          <w:szCs w:val="21"/>
          <w:lang w:val="en"/>
        </w:rPr>
        <w:t>select the IBS patients with</w:t>
      </w:r>
      <w:r w:rsidR="007A283E" w:rsidRPr="00932145">
        <w:rPr>
          <w:rFonts w:ascii="Arial" w:hAnsi="Arial" w:cs="Arial"/>
          <w:szCs w:val="21"/>
          <w:lang w:val="en"/>
        </w:rPr>
        <w:t xml:space="preserve"> visceral h</w:t>
      </w:r>
      <w:r w:rsidRPr="00932145">
        <w:rPr>
          <w:rFonts w:ascii="Arial" w:hAnsi="Arial" w:cs="Arial"/>
          <w:szCs w:val="21"/>
          <w:lang w:val="en"/>
        </w:rPr>
        <w:t>yper</w:t>
      </w:r>
      <w:r w:rsidR="00BC6135">
        <w:rPr>
          <w:rFonts w:ascii="Arial" w:hAnsi="Arial" w:cs="Arial"/>
          <w:szCs w:val="21"/>
          <w:lang w:val="en"/>
        </w:rPr>
        <w:t>sensitivity</w:t>
      </w:r>
      <w:r w:rsidRPr="00932145">
        <w:rPr>
          <w:rFonts w:ascii="Arial" w:hAnsi="Arial" w:cs="Arial"/>
          <w:szCs w:val="21"/>
          <w:lang w:val="en"/>
        </w:rPr>
        <w:t>.</w:t>
      </w:r>
    </w:p>
    <w:p w:rsidR="001B197D" w:rsidRPr="00932145" w:rsidRDefault="00C81781" w:rsidP="00162DC1">
      <w:pPr>
        <w:pStyle w:val="ListParagraph"/>
        <w:numPr>
          <w:ilvl w:val="0"/>
          <w:numId w:val="38"/>
        </w:numPr>
        <w:spacing w:line="0" w:lineRule="atLeast"/>
        <w:ind w:leftChars="0"/>
        <w:rPr>
          <w:rFonts w:ascii="Arial" w:hAnsi="Arial" w:cs="Arial"/>
          <w:szCs w:val="21"/>
          <w:lang w:val="en"/>
        </w:rPr>
      </w:pPr>
      <w:r w:rsidRPr="00932145">
        <w:rPr>
          <w:rFonts w:ascii="Arial" w:hAnsi="Arial" w:cs="Arial"/>
          <w:szCs w:val="21"/>
          <w:lang w:val="en"/>
        </w:rPr>
        <w:t>A</w:t>
      </w:r>
      <w:r w:rsidR="007A283E" w:rsidRPr="00932145">
        <w:rPr>
          <w:rFonts w:ascii="Arial" w:hAnsi="Arial" w:cs="Arial"/>
          <w:szCs w:val="21"/>
          <w:lang w:val="en"/>
        </w:rPr>
        <w:t xml:space="preserve">nimal model that reflects the </w:t>
      </w:r>
      <w:r w:rsidR="00D56196" w:rsidRPr="00932145">
        <w:rPr>
          <w:rFonts w:ascii="Arial" w:hAnsi="Arial" w:cs="Arial"/>
          <w:szCs w:val="21"/>
          <w:lang w:val="en"/>
        </w:rPr>
        <w:t>abnormality of CNS</w:t>
      </w:r>
      <w:r w:rsidR="007A283E" w:rsidRPr="00932145">
        <w:rPr>
          <w:rFonts w:ascii="Arial" w:hAnsi="Arial" w:cs="Arial"/>
          <w:szCs w:val="21"/>
          <w:lang w:val="en"/>
        </w:rPr>
        <w:t xml:space="preserve"> and exhibits chronic visceral hyperalgesia (essential) or gastrointestinal motility </w:t>
      </w:r>
      <w:r w:rsidR="00D3429B" w:rsidRPr="00932145">
        <w:rPr>
          <w:rFonts w:ascii="Arial" w:hAnsi="Arial" w:cs="Arial"/>
          <w:szCs w:val="21"/>
          <w:lang w:val="en"/>
        </w:rPr>
        <w:t>dysfunction</w:t>
      </w:r>
      <w:r w:rsidR="007A283E" w:rsidRPr="00932145">
        <w:rPr>
          <w:rFonts w:ascii="Arial" w:hAnsi="Arial" w:cs="Arial"/>
          <w:szCs w:val="21"/>
          <w:lang w:val="en"/>
        </w:rPr>
        <w:t xml:space="preserve"> (diarrhea or const</w:t>
      </w:r>
      <w:r w:rsidR="00D56196" w:rsidRPr="00932145">
        <w:rPr>
          <w:rFonts w:ascii="Arial" w:hAnsi="Arial" w:cs="Arial"/>
          <w:szCs w:val="21"/>
          <w:lang w:val="en"/>
        </w:rPr>
        <w:t>ipation, or both).</w:t>
      </w:r>
    </w:p>
    <w:p w:rsidR="007A283E" w:rsidRPr="00932145" w:rsidRDefault="007A283E" w:rsidP="00162DC1">
      <w:pPr>
        <w:spacing w:line="0" w:lineRule="atLeast"/>
        <w:rPr>
          <w:rFonts w:eastAsia="Meiryo UI"/>
          <w:b/>
          <w:u w:val="single"/>
        </w:rPr>
      </w:pPr>
    </w:p>
    <w:p w:rsidR="007A283E" w:rsidRPr="00932145" w:rsidRDefault="007A283E" w:rsidP="00162DC1">
      <w:pPr>
        <w:spacing w:line="0" w:lineRule="atLeast"/>
        <w:rPr>
          <w:rFonts w:eastAsia="Meiryo UI"/>
          <w:b/>
          <w:u w:val="single"/>
        </w:rPr>
      </w:pPr>
      <w:r w:rsidRPr="00932145">
        <w:rPr>
          <w:rFonts w:eastAsia="Meiryo UI"/>
          <w:b/>
          <w:u w:val="single"/>
        </w:rPr>
        <w:t>NSAIDs-induced mucosal injury in small intestine</w:t>
      </w:r>
    </w:p>
    <w:p w:rsidR="00B56BA3" w:rsidRPr="00932145" w:rsidRDefault="00B56BA3" w:rsidP="00B56BA3">
      <w:pPr>
        <w:pStyle w:val="ListParagraph"/>
        <w:numPr>
          <w:ilvl w:val="0"/>
          <w:numId w:val="39"/>
        </w:numPr>
        <w:spacing w:line="0" w:lineRule="atLeast"/>
        <w:ind w:leftChars="0"/>
        <w:rPr>
          <w:rFonts w:ascii="Arial" w:eastAsia="Meiryo UI" w:hAnsi="Arial" w:cs="Arial"/>
        </w:rPr>
      </w:pPr>
      <w:r w:rsidRPr="00932145">
        <w:rPr>
          <w:rFonts w:ascii="Arial" w:eastAsia="Meiryo UI" w:hAnsi="Arial" w:cs="Arial"/>
        </w:rPr>
        <w:t>In nonclinical practice, biomarker candidates and technologies that can non-invasively measure mucosal injury of the small intestine</w:t>
      </w:r>
      <w:r w:rsidR="00804348" w:rsidRPr="00932145">
        <w:rPr>
          <w:rFonts w:ascii="Arial" w:eastAsia="Meiryo UI" w:hAnsi="Arial" w:cs="Arial"/>
        </w:rPr>
        <w:t xml:space="preserve">; </w:t>
      </w:r>
      <w:r w:rsidRPr="00932145">
        <w:rPr>
          <w:rFonts w:ascii="Arial" w:eastAsia="Meiryo UI" w:hAnsi="Arial" w:cs="Arial"/>
        </w:rPr>
        <w:t>That is, technologies and biomarker candidates that can be expected to be applied to clinical diagnosis and evaluation, and technologies and biomarker candidates for the sequential and quantitative evaluation of inflammation of the</w:t>
      </w:r>
      <w:r w:rsidR="00892FCB">
        <w:rPr>
          <w:rFonts w:ascii="Arial" w:eastAsia="Meiryo UI" w:hAnsi="Arial" w:cs="Arial"/>
        </w:rPr>
        <w:t xml:space="preserve"> small intestine without using radio isotope (RI)</w:t>
      </w:r>
      <w:r w:rsidRPr="00932145">
        <w:rPr>
          <w:rFonts w:ascii="Arial" w:eastAsia="Meiryo UI" w:hAnsi="Arial" w:cs="Arial"/>
        </w:rPr>
        <w:t>.</w:t>
      </w:r>
    </w:p>
    <w:sectPr w:rsidR="00B56BA3" w:rsidRPr="009321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9205A" w14:textId="77777777" w:rsidR="00DA4D29" w:rsidRDefault="00DA4D29" w:rsidP="00873931">
      <w:r>
        <w:separator/>
      </w:r>
    </w:p>
  </w:endnote>
  <w:endnote w:type="continuationSeparator" w:id="0">
    <w:p w14:paraId="7089205A" w14:textId="77777777" w:rsidR="00DA4D29" w:rsidRDefault="00DA4D29" w:rsidP="0087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eiryo"/>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Meiryo"/>
    <w:panose1 w:val="020B0604020202020204"/>
    <w:charset w:val="00"/>
    <w:family w:val="swiss"/>
    <w:pitch w:val="variable"/>
    <w:sig w:usb0="E0002EFF" w:usb1="C0007843" w:usb2="00000009" w:usb3="00000000" w:csb0="000001FF" w:csb1="00000000"/>
  </w:font>
  <w:font w:name="MS PGothic">
    <w:altName w:val="Meiryo"/>
    <w:panose1 w:val="020B0600070205080204"/>
    <w:charset w:val="80"/>
    <w:family w:val="modern"/>
    <w:pitch w:val="variable"/>
    <w:sig w:usb0="E00002FF" w:usb1="6AC7FDFB" w:usb2="08000012" w:usb3="00000000" w:csb0="0002009F" w:csb1="00000000"/>
  </w:font>
  <w:font w:name="Meiryo UI">
    <w:charset w:val="80"/>
    <w:family w:val="modern"/>
    <w:pitch w:val="variable"/>
    <w:sig w:usb0="E00002FF" w:usb1="6AC7FFFF" w:usb2="08000012" w:usb3="00000000" w:csb0="0002009F" w:csb1="00000000"/>
  </w:font>
  <w:font w:name="Yu Mincho">
    <w:altName w:val="游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eiryo"/>
    <w:panose1 w:val="02020609040205080304"/>
    <w:charset w:val="80"/>
    <w:family w:val="roman"/>
    <w:pitch w:val="fixed"/>
    <w:sig w:usb0="E00002FF" w:usb1="6AC7FDFB" w:usb2="08000012" w:usb3="00000000" w:csb0="0002009F" w:csb1="00000000"/>
  </w:font>
  <w:font w:name="MS Gothic">
    <w:altName w:val="Meiryo"/>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205A" w14:textId="77777777" w:rsidR="00DA4D29" w:rsidRDefault="00DA4D29" w:rsidP="00873931">
      <w:r>
        <w:separator/>
      </w:r>
    </w:p>
  </w:footnote>
  <w:footnote w:type="continuationSeparator" w:id="0">
    <w:p w14:paraId="7089205A" w14:textId="77777777" w:rsidR="00DA4D29" w:rsidRDefault="00DA4D29" w:rsidP="0087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601"/>
    <w:multiLevelType w:val="hybridMultilevel"/>
    <w:tmpl w:val="BC62909E"/>
    <w:lvl w:ilvl="0" w:tplc="F976A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67576"/>
    <w:multiLevelType w:val="hybridMultilevel"/>
    <w:tmpl w:val="79A094CC"/>
    <w:lvl w:ilvl="0" w:tplc="91F050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505B0"/>
    <w:multiLevelType w:val="hybridMultilevel"/>
    <w:tmpl w:val="06F07862"/>
    <w:lvl w:ilvl="0" w:tplc="F976A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C49C7"/>
    <w:multiLevelType w:val="hybridMultilevel"/>
    <w:tmpl w:val="127A3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FF21A9"/>
    <w:multiLevelType w:val="hybridMultilevel"/>
    <w:tmpl w:val="2404F86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692B52"/>
    <w:multiLevelType w:val="hybridMultilevel"/>
    <w:tmpl w:val="45CAECFE"/>
    <w:lvl w:ilvl="0" w:tplc="4BE8690A">
      <w:start w:val="1"/>
      <w:numFmt w:val="decimal"/>
      <w:lvlText w:val="%1)"/>
      <w:lvlJc w:val="left"/>
      <w:pPr>
        <w:ind w:left="360" w:hanging="360"/>
      </w:pPr>
      <w:rPr>
        <w:rFonts w:cs="Arial"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EC529D"/>
    <w:multiLevelType w:val="hybridMultilevel"/>
    <w:tmpl w:val="19E02E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04621A"/>
    <w:multiLevelType w:val="hybridMultilevel"/>
    <w:tmpl w:val="86DE78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9B6F23"/>
    <w:multiLevelType w:val="hybridMultilevel"/>
    <w:tmpl w:val="D20245F0"/>
    <w:lvl w:ilvl="0" w:tplc="F976A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E82A94"/>
    <w:multiLevelType w:val="hybridMultilevel"/>
    <w:tmpl w:val="701C57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AB5AC3"/>
    <w:multiLevelType w:val="hybridMultilevel"/>
    <w:tmpl w:val="49081928"/>
    <w:lvl w:ilvl="0" w:tplc="641E674C">
      <w:start w:val="1"/>
      <w:numFmt w:val="decimal"/>
      <w:lvlText w:val="%1)"/>
      <w:lvlJc w:val="left"/>
      <w:pPr>
        <w:ind w:left="360" w:hanging="360"/>
      </w:pPr>
      <w:rPr>
        <w:rFonts w:eastAsia="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6977B1"/>
    <w:multiLevelType w:val="hybridMultilevel"/>
    <w:tmpl w:val="3C40B05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07C0D"/>
    <w:multiLevelType w:val="hybridMultilevel"/>
    <w:tmpl w:val="F9802A32"/>
    <w:lvl w:ilvl="0" w:tplc="E10E9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674E27"/>
    <w:multiLevelType w:val="hybridMultilevel"/>
    <w:tmpl w:val="CE90EE6A"/>
    <w:lvl w:ilvl="0" w:tplc="583C5C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B61918"/>
    <w:multiLevelType w:val="multilevel"/>
    <w:tmpl w:val="2502152A"/>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2946216E"/>
    <w:multiLevelType w:val="hybridMultilevel"/>
    <w:tmpl w:val="52CA8DA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B902D2"/>
    <w:multiLevelType w:val="hybridMultilevel"/>
    <w:tmpl w:val="E1F65E76"/>
    <w:lvl w:ilvl="0" w:tplc="E10E9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7E14F4"/>
    <w:multiLevelType w:val="hybridMultilevel"/>
    <w:tmpl w:val="A6384C70"/>
    <w:lvl w:ilvl="0" w:tplc="C562D2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823C90"/>
    <w:multiLevelType w:val="hybridMultilevel"/>
    <w:tmpl w:val="2A22A9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33795"/>
    <w:multiLevelType w:val="hybridMultilevel"/>
    <w:tmpl w:val="E27C39AC"/>
    <w:lvl w:ilvl="0" w:tplc="AEC2BC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8377BA"/>
    <w:multiLevelType w:val="hybridMultilevel"/>
    <w:tmpl w:val="840EB502"/>
    <w:lvl w:ilvl="0" w:tplc="F976A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887E6D"/>
    <w:multiLevelType w:val="hybridMultilevel"/>
    <w:tmpl w:val="C358A580"/>
    <w:lvl w:ilvl="0" w:tplc="9BFA3854">
      <w:start w:val="3"/>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A2F06"/>
    <w:multiLevelType w:val="hybridMultilevel"/>
    <w:tmpl w:val="494A02EE"/>
    <w:lvl w:ilvl="0" w:tplc="DB94429E">
      <w:start w:val="1"/>
      <w:numFmt w:val="decimal"/>
      <w:lvlText w:val="%1)"/>
      <w:lvlJc w:val="left"/>
      <w:pPr>
        <w:ind w:left="420" w:hanging="42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B533EA"/>
    <w:multiLevelType w:val="hybridMultilevel"/>
    <w:tmpl w:val="8788D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C93C26"/>
    <w:multiLevelType w:val="hybridMultilevel"/>
    <w:tmpl w:val="8B50DDBA"/>
    <w:lvl w:ilvl="0" w:tplc="EE06E0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7B3CAB"/>
    <w:multiLevelType w:val="hybridMultilevel"/>
    <w:tmpl w:val="78188D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FC2798A"/>
    <w:multiLevelType w:val="hybridMultilevel"/>
    <w:tmpl w:val="778CD668"/>
    <w:lvl w:ilvl="0" w:tplc="FE605FF0">
      <w:start w:val="1"/>
      <w:numFmt w:val="decimal"/>
      <w:lvlText w:val="%1)"/>
      <w:lvlJc w:val="left"/>
      <w:pPr>
        <w:ind w:left="420" w:hanging="42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3950AB"/>
    <w:multiLevelType w:val="hybridMultilevel"/>
    <w:tmpl w:val="EF983E0C"/>
    <w:lvl w:ilvl="0" w:tplc="DBC229C4">
      <w:start w:val="5"/>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73A262D"/>
    <w:multiLevelType w:val="hybridMultilevel"/>
    <w:tmpl w:val="74901488"/>
    <w:lvl w:ilvl="0" w:tplc="D70ED712">
      <w:start w:val="1"/>
      <w:numFmt w:val="decimal"/>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04FAE"/>
    <w:multiLevelType w:val="hybridMultilevel"/>
    <w:tmpl w:val="359886B0"/>
    <w:lvl w:ilvl="0" w:tplc="95BA64A2">
      <w:start w:val="1"/>
      <w:numFmt w:val="decimal"/>
      <w:lvlText w:val="%1)"/>
      <w:lvlJc w:val="left"/>
      <w:pPr>
        <w:ind w:left="360" w:hanging="360"/>
      </w:pPr>
      <w:rPr>
        <w:rFonts w:hint="default"/>
        <w:b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D93965"/>
    <w:multiLevelType w:val="hybridMultilevel"/>
    <w:tmpl w:val="8324978A"/>
    <w:lvl w:ilvl="0" w:tplc="96FE3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CE68F3"/>
    <w:multiLevelType w:val="hybridMultilevel"/>
    <w:tmpl w:val="52FE2982"/>
    <w:lvl w:ilvl="0" w:tplc="FEDE1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B4603F"/>
    <w:multiLevelType w:val="hybridMultilevel"/>
    <w:tmpl w:val="635ACD72"/>
    <w:lvl w:ilvl="0" w:tplc="9D68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8A6340"/>
    <w:multiLevelType w:val="hybridMultilevel"/>
    <w:tmpl w:val="B8CC1E84"/>
    <w:lvl w:ilvl="0" w:tplc="04090017">
      <w:start w:val="1"/>
      <w:numFmt w:val="aiueo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0F35E3"/>
    <w:multiLevelType w:val="hybridMultilevel"/>
    <w:tmpl w:val="EC424716"/>
    <w:lvl w:ilvl="0" w:tplc="F976A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1F16CD"/>
    <w:multiLevelType w:val="hybridMultilevel"/>
    <w:tmpl w:val="BD68CD8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1D37A5"/>
    <w:multiLevelType w:val="hybridMultilevel"/>
    <w:tmpl w:val="B2D88350"/>
    <w:lvl w:ilvl="0" w:tplc="5E24FC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D6D2A"/>
    <w:multiLevelType w:val="hybridMultilevel"/>
    <w:tmpl w:val="53C88B8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8D43D26"/>
    <w:multiLevelType w:val="hybridMultilevel"/>
    <w:tmpl w:val="3D822A22"/>
    <w:lvl w:ilvl="0" w:tplc="F976A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E5194E"/>
    <w:multiLevelType w:val="hybridMultilevel"/>
    <w:tmpl w:val="E0547CB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E12596C"/>
    <w:multiLevelType w:val="hybridMultilevel"/>
    <w:tmpl w:val="D9ECB30A"/>
    <w:lvl w:ilvl="0" w:tplc="38684726">
      <w:start w:val="1"/>
      <w:numFmt w:val="decimal"/>
      <w:lvlText w:val="%1)"/>
      <w:lvlJc w:val="left"/>
      <w:pPr>
        <w:ind w:left="360" w:hanging="360"/>
      </w:pPr>
      <w:rPr>
        <w:rFonts w:ascii="Arial" w:eastAsia="MS PGothic" w:hAnsi="Arial" w:cs="Arial"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1"/>
  </w:num>
  <w:num w:numId="3">
    <w:abstractNumId w:val="17"/>
  </w:num>
  <w:num w:numId="4">
    <w:abstractNumId w:val="22"/>
  </w:num>
  <w:num w:numId="5">
    <w:abstractNumId w:val="6"/>
  </w:num>
  <w:num w:numId="6">
    <w:abstractNumId w:val="12"/>
  </w:num>
  <w:num w:numId="7">
    <w:abstractNumId w:val="15"/>
  </w:num>
  <w:num w:numId="8">
    <w:abstractNumId w:val="25"/>
  </w:num>
  <w:num w:numId="9">
    <w:abstractNumId w:val="23"/>
  </w:num>
  <w:num w:numId="10">
    <w:abstractNumId w:val="4"/>
  </w:num>
  <w:num w:numId="11">
    <w:abstractNumId w:val="18"/>
  </w:num>
  <w:num w:numId="12">
    <w:abstractNumId w:val="7"/>
  </w:num>
  <w:num w:numId="13">
    <w:abstractNumId w:val="26"/>
  </w:num>
  <w:num w:numId="14">
    <w:abstractNumId w:val="13"/>
  </w:num>
  <w:num w:numId="15">
    <w:abstractNumId w:val="36"/>
  </w:num>
  <w:num w:numId="16">
    <w:abstractNumId w:val="19"/>
  </w:num>
  <w:num w:numId="17">
    <w:abstractNumId w:val="31"/>
  </w:num>
  <w:num w:numId="18">
    <w:abstractNumId w:val="32"/>
  </w:num>
  <w:num w:numId="19">
    <w:abstractNumId w:val="24"/>
  </w:num>
  <w:num w:numId="20">
    <w:abstractNumId w:val="29"/>
  </w:num>
  <w:num w:numId="21">
    <w:abstractNumId w:val="30"/>
  </w:num>
  <w:num w:numId="22">
    <w:abstractNumId w:val="37"/>
  </w:num>
  <w:num w:numId="23">
    <w:abstractNumId w:val="5"/>
  </w:num>
  <w:num w:numId="24">
    <w:abstractNumId w:val="9"/>
  </w:num>
  <w:num w:numId="25">
    <w:abstractNumId w:val="1"/>
  </w:num>
  <w:num w:numId="26">
    <w:abstractNumId w:val="38"/>
  </w:num>
  <w:num w:numId="27">
    <w:abstractNumId w:val="39"/>
  </w:num>
  <w:num w:numId="28">
    <w:abstractNumId w:val="14"/>
  </w:num>
  <w:num w:numId="29">
    <w:abstractNumId w:val="28"/>
  </w:num>
  <w:num w:numId="30">
    <w:abstractNumId w:val="11"/>
  </w:num>
  <w:num w:numId="31">
    <w:abstractNumId w:val="35"/>
  </w:num>
  <w:num w:numId="32">
    <w:abstractNumId w:val="3"/>
  </w:num>
  <w:num w:numId="33">
    <w:abstractNumId w:val="40"/>
  </w:num>
  <w:num w:numId="34">
    <w:abstractNumId w:val="0"/>
  </w:num>
  <w:num w:numId="35">
    <w:abstractNumId w:val="2"/>
  </w:num>
  <w:num w:numId="36">
    <w:abstractNumId w:val="34"/>
  </w:num>
  <w:num w:numId="37">
    <w:abstractNumId w:val="20"/>
  </w:num>
  <w:num w:numId="38">
    <w:abstractNumId w:val="8"/>
  </w:num>
  <w:num w:numId="39">
    <w:abstractNumId w:val="10"/>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0D"/>
    <w:rsid w:val="000145DA"/>
    <w:rsid w:val="00016FCA"/>
    <w:rsid w:val="000523FE"/>
    <w:rsid w:val="000811D9"/>
    <w:rsid w:val="000909DE"/>
    <w:rsid w:val="00092E15"/>
    <w:rsid w:val="000D6F3D"/>
    <w:rsid w:val="00113485"/>
    <w:rsid w:val="00117C03"/>
    <w:rsid w:val="001475E7"/>
    <w:rsid w:val="001550B3"/>
    <w:rsid w:val="00162DC1"/>
    <w:rsid w:val="00164445"/>
    <w:rsid w:val="00165257"/>
    <w:rsid w:val="0018339F"/>
    <w:rsid w:val="001B197D"/>
    <w:rsid w:val="001D6E0E"/>
    <w:rsid w:val="001E454F"/>
    <w:rsid w:val="001F7671"/>
    <w:rsid w:val="00213246"/>
    <w:rsid w:val="002302D8"/>
    <w:rsid w:val="00236BD7"/>
    <w:rsid w:val="002457A7"/>
    <w:rsid w:val="00253200"/>
    <w:rsid w:val="00283F49"/>
    <w:rsid w:val="002B1887"/>
    <w:rsid w:val="002C2410"/>
    <w:rsid w:val="002C461E"/>
    <w:rsid w:val="003710C8"/>
    <w:rsid w:val="00376C21"/>
    <w:rsid w:val="00396C8C"/>
    <w:rsid w:val="003A49EC"/>
    <w:rsid w:val="003A676B"/>
    <w:rsid w:val="003A74D7"/>
    <w:rsid w:val="003C7540"/>
    <w:rsid w:val="003D1313"/>
    <w:rsid w:val="003D4027"/>
    <w:rsid w:val="003E1CDD"/>
    <w:rsid w:val="003F0C70"/>
    <w:rsid w:val="00453E7E"/>
    <w:rsid w:val="00474D0D"/>
    <w:rsid w:val="004F69E3"/>
    <w:rsid w:val="00514716"/>
    <w:rsid w:val="0054190A"/>
    <w:rsid w:val="00577AE3"/>
    <w:rsid w:val="005C2E67"/>
    <w:rsid w:val="005F1C9E"/>
    <w:rsid w:val="005F54B8"/>
    <w:rsid w:val="006072E5"/>
    <w:rsid w:val="00652FB5"/>
    <w:rsid w:val="00674952"/>
    <w:rsid w:val="00691D14"/>
    <w:rsid w:val="006A5590"/>
    <w:rsid w:val="006C56E0"/>
    <w:rsid w:val="006D51DC"/>
    <w:rsid w:val="0073789F"/>
    <w:rsid w:val="00762930"/>
    <w:rsid w:val="00782E78"/>
    <w:rsid w:val="00792FDB"/>
    <w:rsid w:val="007A283E"/>
    <w:rsid w:val="007A5610"/>
    <w:rsid w:val="00804348"/>
    <w:rsid w:val="00816A66"/>
    <w:rsid w:val="00837BB4"/>
    <w:rsid w:val="00873931"/>
    <w:rsid w:val="00882C66"/>
    <w:rsid w:val="00892FCB"/>
    <w:rsid w:val="008A047A"/>
    <w:rsid w:val="0091354D"/>
    <w:rsid w:val="00932145"/>
    <w:rsid w:val="00932BB4"/>
    <w:rsid w:val="0097438D"/>
    <w:rsid w:val="009D5FAA"/>
    <w:rsid w:val="00A10924"/>
    <w:rsid w:val="00A142B3"/>
    <w:rsid w:val="00A55F58"/>
    <w:rsid w:val="00A561C4"/>
    <w:rsid w:val="00AA335D"/>
    <w:rsid w:val="00AC28FE"/>
    <w:rsid w:val="00B01C74"/>
    <w:rsid w:val="00B22765"/>
    <w:rsid w:val="00B32931"/>
    <w:rsid w:val="00B56BA3"/>
    <w:rsid w:val="00B82039"/>
    <w:rsid w:val="00BC6135"/>
    <w:rsid w:val="00BE663F"/>
    <w:rsid w:val="00BF0178"/>
    <w:rsid w:val="00C70E20"/>
    <w:rsid w:val="00C72ADC"/>
    <w:rsid w:val="00C81781"/>
    <w:rsid w:val="00C82598"/>
    <w:rsid w:val="00CB501C"/>
    <w:rsid w:val="00CB6684"/>
    <w:rsid w:val="00D25CEC"/>
    <w:rsid w:val="00D32A33"/>
    <w:rsid w:val="00D3429B"/>
    <w:rsid w:val="00D46F03"/>
    <w:rsid w:val="00D56196"/>
    <w:rsid w:val="00D56513"/>
    <w:rsid w:val="00D72BA4"/>
    <w:rsid w:val="00D91007"/>
    <w:rsid w:val="00DA32D4"/>
    <w:rsid w:val="00DA4D29"/>
    <w:rsid w:val="00DF6D0F"/>
    <w:rsid w:val="00E0609A"/>
    <w:rsid w:val="00E17B5C"/>
    <w:rsid w:val="00E21534"/>
    <w:rsid w:val="00E65C9E"/>
    <w:rsid w:val="00E71F32"/>
    <w:rsid w:val="00E90767"/>
    <w:rsid w:val="00EA2DC7"/>
    <w:rsid w:val="00EC1412"/>
    <w:rsid w:val="00F14DF4"/>
    <w:rsid w:val="00F26037"/>
    <w:rsid w:val="00F26AC7"/>
    <w:rsid w:val="00F476EE"/>
    <w:rsid w:val="00F541B7"/>
    <w:rsid w:val="00F55BC5"/>
    <w:rsid w:val="00F9281A"/>
    <w:rsid w:val="00F93255"/>
    <w:rsid w:val="00F9460B"/>
    <w:rsid w:val="00FA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10AAC7"/>
  <w15:chartTrackingRefBased/>
  <w15:docId w15:val="{8EFE043D-85A2-4C69-99AF-1799875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D0D"/>
    <w:pPr>
      <w:jc w:val="both"/>
    </w:pPr>
    <w:rPr>
      <w:rFonts w:ascii="Arial" w:eastAsia="MS PGothic" w:hAnsi="Arial" w:cs="Arial"/>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00"/>
    <w:pPr>
      <w:widowControl w:val="0"/>
      <w:ind w:leftChars="400" w:left="840"/>
    </w:pPr>
    <w:rPr>
      <w:rFonts w:ascii="Century" w:eastAsia="MS Mincho" w:hAnsi="Century" w:cs="Times New Roman"/>
      <w:kern w:val="2"/>
      <w:szCs w:val="24"/>
    </w:rPr>
  </w:style>
  <w:style w:type="paragraph" w:styleId="Header">
    <w:name w:val="header"/>
    <w:basedOn w:val="Normal"/>
    <w:link w:val="HeaderChar"/>
    <w:uiPriority w:val="99"/>
    <w:unhideWhenUsed/>
    <w:rsid w:val="00873931"/>
    <w:pPr>
      <w:tabs>
        <w:tab w:val="center" w:pos="4252"/>
        <w:tab w:val="right" w:pos="8504"/>
      </w:tabs>
      <w:snapToGrid w:val="0"/>
    </w:pPr>
  </w:style>
  <w:style w:type="character" w:customStyle="1" w:styleId="HeaderChar">
    <w:name w:val="Header Char"/>
    <w:basedOn w:val="DefaultParagraphFont"/>
    <w:link w:val="Header"/>
    <w:uiPriority w:val="99"/>
    <w:rsid w:val="00873931"/>
    <w:rPr>
      <w:rFonts w:ascii="Arial" w:eastAsia="MS PGothic" w:hAnsi="Arial" w:cs="Arial"/>
      <w:kern w:val="0"/>
      <w:szCs w:val="21"/>
    </w:rPr>
  </w:style>
  <w:style w:type="paragraph" w:styleId="Footer">
    <w:name w:val="footer"/>
    <w:basedOn w:val="Normal"/>
    <w:link w:val="FooterChar"/>
    <w:uiPriority w:val="99"/>
    <w:unhideWhenUsed/>
    <w:rsid w:val="00873931"/>
    <w:pPr>
      <w:tabs>
        <w:tab w:val="center" w:pos="4252"/>
        <w:tab w:val="right" w:pos="8504"/>
      </w:tabs>
      <w:snapToGrid w:val="0"/>
    </w:pPr>
  </w:style>
  <w:style w:type="character" w:customStyle="1" w:styleId="FooterChar">
    <w:name w:val="Footer Char"/>
    <w:basedOn w:val="DefaultParagraphFont"/>
    <w:link w:val="Footer"/>
    <w:uiPriority w:val="99"/>
    <w:rsid w:val="00873931"/>
    <w:rPr>
      <w:rFonts w:ascii="Arial" w:eastAsia="MS PGothic" w:hAnsi="Arial" w:cs="Arial"/>
      <w:kern w:val="0"/>
      <w:szCs w:val="21"/>
    </w:rPr>
  </w:style>
  <w:style w:type="character" w:styleId="CommentReference">
    <w:name w:val="annotation reference"/>
    <w:basedOn w:val="DefaultParagraphFont"/>
    <w:uiPriority w:val="99"/>
    <w:semiHidden/>
    <w:unhideWhenUsed/>
    <w:rsid w:val="00376C21"/>
    <w:rPr>
      <w:sz w:val="18"/>
      <w:szCs w:val="18"/>
    </w:rPr>
  </w:style>
  <w:style w:type="paragraph" w:styleId="CommentText">
    <w:name w:val="annotation text"/>
    <w:basedOn w:val="Normal"/>
    <w:link w:val="CommentTextChar"/>
    <w:uiPriority w:val="99"/>
    <w:semiHidden/>
    <w:unhideWhenUsed/>
    <w:rsid w:val="00376C21"/>
    <w:pPr>
      <w:widowControl w:val="0"/>
      <w:jc w:val="left"/>
    </w:pPr>
    <w:rPr>
      <w:rFonts w:eastAsia="MS Gothic" w:cs="Times New Roman"/>
      <w:kern w:val="2"/>
      <w:szCs w:val="22"/>
    </w:rPr>
  </w:style>
  <w:style w:type="character" w:customStyle="1" w:styleId="CommentTextChar">
    <w:name w:val="Comment Text Char"/>
    <w:basedOn w:val="DefaultParagraphFont"/>
    <w:link w:val="CommentText"/>
    <w:uiPriority w:val="99"/>
    <w:semiHidden/>
    <w:rsid w:val="00376C21"/>
    <w:rPr>
      <w:rFonts w:ascii="Arial" w:eastAsia="MS Gothic" w:hAnsi="Arial" w:cs="Times New Roman"/>
    </w:rPr>
  </w:style>
  <w:style w:type="paragraph" w:styleId="BalloonText">
    <w:name w:val="Balloon Text"/>
    <w:basedOn w:val="Normal"/>
    <w:link w:val="BalloonTextChar"/>
    <w:uiPriority w:val="99"/>
    <w:semiHidden/>
    <w:unhideWhenUsed/>
    <w:rsid w:val="00376C2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6C21"/>
    <w:rPr>
      <w:rFonts w:asciiTheme="majorHAnsi" w:eastAsiaTheme="majorEastAsia" w:hAnsiTheme="majorHAnsi" w:cstheme="majorBidi"/>
      <w:kern w:val="0"/>
      <w:sz w:val="18"/>
      <w:szCs w:val="18"/>
    </w:rPr>
  </w:style>
  <w:style w:type="character" w:customStyle="1" w:styleId="shorttext">
    <w:name w:val="short_text"/>
    <w:basedOn w:val="DefaultParagraphFont"/>
    <w:rsid w:val="007A283E"/>
  </w:style>
  <w:style w:type="character" w:customStyle="1" w:styleId="st1">
    <w:name w:val="st1"/>
    <w:basedOn w:val="DefaultParagraphFont"/>
    <w:rsid w:val="0023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0379">
      <w:bodyDiv w:val="1"/>
      <w:marLeft w:val="0"/>
      <w:marRight w:val="0"/>
      <w:marTop w:val="0"/>
      <w:marBottom w:val="0"/>
      <w:divBdr>
        <w:top w:val="none" w:sz="0" w:space="0" w:color="auto"/>
        <w:left w:val="none" w:sz="0" w:space="0" w:color="auto"/>
        <w:bottom w:val="none" w:sz="0" w:space="0" w:color="auto"/>
        <w:right w:val="none" w:sz="0" w:space="0" w:color="auto"/>
      </w:divBdr>
      <w:divsChild>
        <w:div w:id="1959681495">
          <w:marLeft w:val="0"/>
          <w:marRight w:val="0"/>
          <w:marTop w:val="0"/>
          <w:marBottom w:val="0"/>
          <w:divBdr>
            <w:top w:val="none" w:sz="0" w:space="0" w:color="auto"/>
            <w:left w:val="none" w:sz="0" w:space="0" w:color="auto"/>
            <w:bottom w:val="none" w:sz="0" w:space="0" w:color="auto"/>
            <w:right w:val="none" w:sz="0" w:space="0" w:color="auto"/>
          </w:divBdr>
          <w:divsChild>
            <w:div w:id="2031249281">
              <w:marLeft w:val="0"/>
              <w:marRight w:val="0"/>
              <w:marTop w:val="0"/>
              <w:marBottom w:val="0"/>
              <w:divBdr>
                <w:top w:val="none" w:sz="0" w:space="0" w:color="auto"/>
                <w:left w:val="none" w:sz="0" w:space="0" w:color="auto"/>
                <w:bottom w:val="none" w:sz="0" w:space="0" w:color="auto"/>
                <w:right w:val="none" w:sz="0" w:space="0" w:color="auto"/>
              </w:divBdr>
              <w:divsChild>
                <w:div w:id="844635541">
                  <w:marLeft w:val="0"/>
                  <w:marRight w:val="0"/>
                  <w:marTop w:val="0"/>
                  <w:marBottom w:val="0"/>
                  <w:divBdr>
                    <w:top w:val="none" w:sz="0" w:space="0" w:color="auto"/>
                    <w:left w:val="none" w:sz="0" w:space="0" w:color="auto"/>
                    <w:bottom w:val="none" w:sz="0" w:space="0" w:color="auto"/>
                    <w:right w:val="none" w:sz="0" w:space="0" w:color="auto"/>
                  </w:divBdr>
                  <w:divsChild>
                    <w:div w:id="782766019">
                      <w:marLeft w:val="0"/>
                      <w:marRight w:val="0"/>
                      <w:marTop w:val="0"/>
                      <w:marBottom w:val="0"/>
                      <w:divBdr>
                        <w:top w:val="none" w:sz="0" w:space="0" w:color="auto"/>
                        <w:left w:val="none" w:sz="0" w:space="0" w:color="auto"/>
                        <w:bottom w:val="none" w:sz="0" w:space="0" w:color="auto"/>
                        <w:right w:val="none" w:sz="0" w:space="0" w:color="auto"/>
                      </w:divBdr>
                      <w:divsChild>
                        <w:div w:id="520703726">
                          <w:marLeft w:val="0"/>
                          <w:marRight w:val="0"/>
                          <w:marTop w:val="0"/>
                          <w:marBottom w:val="0"/>
                          <w:divBdr>
                            <w:top w:val="none" w:sz="0" w:space="0" w:color="auto"/>
                            <w:left w:val="none" w:sz="0" w:space="0" w:color="auto"/>
                            <w:bottom w:val="none" w:sz="0" w:space="0" w:color="auto"/>
                            <w:right w:val="none" w:sz="0" w:space="0" w:color="auto"/>
                          </w:divBdr>
                          <w:divsChild>
                            <w:div w:id="1079331626">
                              <w:marLeft w:val="0"/>
                              <w:marRight w:val="0"/>
                              <w:marTop w:val="0"/>
                              <w:marBottom w:val="0"/>
                              <w:divBdr>
                                <w:top w:val="none" w:sz="0" w:space="0" w:color="auto"/>
                                <w:left w:val="none" w:sz="0" w:space="0" w:color="auto"/>
                                <w:bottom w:val="none" w:sz="0" w:space="0" w:color="auto"/>
                                <w:right w:val="none" w:sz="0" w:space="0" w:color="auto"/>
                              </w:divBdr>
                              <w:divsChild>
                                <w:div w:id="248932297">
                                  <w:marLeft w:val="0"/>
                                  <w:marRight w:val="0"/>
                                  <w:marTop w:val="0"/>
                                  <w:marBottom w:val="0"/>
                                  <w:divBdr>
                                    <w:top w:val="none" w:sz="0" w:space="0" w:color="auto"/>
                                    <w:left w:val="none" w:sz="0" w:space="0" w:color="auto"/>
                                    <w:bottom w:val="none" w:sz="0" w:space="0" w:color="auto"/>
                                    <w:right w:val="none" w:sz="0" w:space="0" w:color="auto"/>
                                  </w:divBdr>
                                  <w:divsChild>
                                    <w:div w:id="1910269736">
                                      <w:marLeft w:val="0"/>
                                      <w:marRight w:val="0"/>
                                      <w:marTop w:val="0"/>
                                      <w:marBottom w:val="0"/>
                                      <w:divBdr>
                                        <w:top w:val="none" w:sz="0" w:space="0" w:color="auto"/>
                                        <w:left w:val="none" w:sz="0" w:space="0" w:color="auto"/>
                                        <w:bottom w:val="none" w:sz="0" w:space="0" w:color="auto"/>
                                        <w:right w:val="none" w:sz="0" w:space="0" w:color="auto"/>
                                      </w:divBdr>
                                      <w:divsChild>
                                        <w:div w:id="599680540">
                                          <w:marLeft w:val="0"/>
                                          <w:marRight w:val="0"/>
                                          <w:marTop w:val="0"/>
                                          <w:marBottom w:val="0"/>
                                          <w:divBdr>
                                            <w:top w:val="none" w:sz="0" w:space="0" w:color="auto"/>
                                            <w:left w:val="none" w:sz="0" w:space="0" w:color="auto"/>
                                            <w:bottom w:val="none" w:sz="0" w:space="0" w:color="auto"/>
                                            <w:right w:val="none" w:sz="0" w:space="0" w:color="auto"/>
                                          </w:divBdr>
                                          <w:divsChild>
                                            <w:div w:id="985092002">
                                              <w:marLeft w:val="0"/>
                                              <w:marRight w:val="0"/>
                                              <w:marTop w:val="0"/>
                                              <w:marBottom w:val="0"/>
                                              <w:divBdr>
                                                <w:top w:val="none" w:sz="0" w:space="0" w:color="auto"/>
                                                <w:left w:val="none" w:sz="0" w:space="0" w:color="auto"/>
                                                <w:bottom w:val="none" w:sz="0" w:space="0" w:color="auto"/>
                                                <w:right w:val="none" w:sz="0" w:space="0" w:color="auto"/>
                                              </w:divBdr>
                                              <w:divsChild>
                                                <w:div w:id="652149128">
                                                  <w:marLeft w:val="0"/>
                                                  <w:marRight w:val="0"/>
                                                  <w:marTop w:val="0"/>
                                                  <w:marBottom w:val="0"/>
                                                  <w:divBdr>
                                                    <w:top w:val="none" w:sz="0" w:space="0" w:color="auto"/>
                                                    <w:left w:val="none" w:sz="0" w:space="0" w:color="auto"/>
                                                    <w:bottom w:val="none" w:sz="0" w:space="0" w:color="auto"/>
                                                    <w:right w:val="none" w:sz="0" w:space="0" w:color="auto"/>
                                                  </w:divBdr>
                                                  <w:divsChild>
                                                    <w:div w:id="6820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036745">
      <w:bodyDiv w:val="1"/>
      <w:marLeft w:val="0"/>
      <w:marRight w:val="0"/>
      <w:marTop w:val="0"/>
      <w:marBottom w:val="0"/>
      <w:divBdr>
        <w:top w:val="none" w:sz="0" w:space="0" w:color="auto"/>
        <w:left w:val="none" w:sz="0" w:space="0" w:color="auto"/>
        <w:bottom w:val="none" w:sz="0" w:space="0" w:color="auto"/>
        <w:right w:val="none" w:sz="0" w:space="0" w:color="auto"/>
      </w:divBdr>
      <w:divsChild>
        <w:div w:id="458106200">
          <w:marLeft w:val="0"/>
          <w:marRight w:val="0"/>
          <w:marTop w:val="0"/>
          <w:marBottom w:val="0"/>
          <w:divBdr>
            <w:top w:val="none" w:sz="0" w:space="0" w:color="auto"/>
            <w:left w:val="none" w:sz="0" w:space="0" w:color="auto"/>
            <w:bottom w:val="none" w:sz="0" w:space="0" w:color="auto"/>
            <w:right w:val="none" w:sz="0" w:space="0" w:color="auto"/>
          </w:divBdr>
          <w:divsChild>
            <w:div w:id="1205874502">
              <w:marLeft w:val="0"/>
              <w:marRight w:val="0"/>
              <w:marTop w:val="0"/>
              <w:marBottom w:val="0"/>
              <w:divBdr>
                <w:top w:val="none" w:sz="0" w:space="0" w:color="auto"/>
                <w:left w:val="none" w:sz="0" w:space="0" w:color="auto"/>
                <w:bottom w:val="none" w:sz="0" w:space="0" w:color="auto"/>
                <w:right w:val="none" w:sz="0" w:space="0" w:color="auto"/>
              </w:divBdr>
              <w:divsChild>
                <w:div w:id="1039431046">
                  <w:marLeft w:val="0"/>
                  <w:marRight w:val="0"/>
                  <w:marTop w:val="0"/>
                  <w:marBottom w:val="0"/>
                  <w:divBdr>
                    <w:top w:val="none" w:sz="0" w:space="0" w:color="auto"/>
                    <w:left w:val="none" w:sz="0" w:space="0" w:color="auto"/>
                    <w:bottom w:val="none" w:sz="0" w:space="0" w:color="auto"/>
                    <w:right w:val="none" w:sz="0" w:space="0" w:color="auto"/>
                  </w:divBdr>
                  <w:divsChild>
                    <w:div w:id="789131389">
                      <w:marLeft w:val="0"/>
                      <w:marRight w:val="0"/>
                      <w:marTop w:val="0"/>
                      <w:marBottom w:val="0"/>
                      <w:divBdr>
                        <w:top w:val="none" w:sz="0" w:space="0" w:color="auto"/>
                        <w:left w:val="none" w:sz="0" w:space="0" w:color="auto"/>
                        <w:bottom w:val="none" w:sz="0" w:space="0" w:color="auto"/>
                        <w:right w:val="none" w:sz="0" w:space="0" w:color="auto"/>
                      </w:divBdr>
                      <w:divsChild>
                        <w:div w:id="2008822362">
                          <w:marLeft w:val="0"/>
                          <w:marRight w:val="0"/>
                          <w:marTop w:val="0"/>
                          <w:marBottom w:val="0"/>
                          <w:divBdr>
                            <w:top w:val="none" w:sz="0" w:space="0" w:color="auto"/>
                            <w:left w:val="none" w:sz="0" w:space="0" w:color="auto"/>
                            <w:bottom w:val="none" w:sz="0" w:space="0" w:color="auto"/>
                            <w:right w:val="none" w:sz="0" w:space="0" w:color="auto"/>
                          </w:divBdr>
                          <w:divsChild>
                            <w:div w:id="1140538682">
                              <w:marLeft w:val="0"/>
                              <w:marRight w:val="0"/>
                              <w:marTop w:val="0"/>
                              <w:marBottom w:val="0"/>
                              <w:divBdr>
                                <w:top w:val="none" w:sz="0" w:space="0" w:color="auto"/>
                                <w:left w:val="none" w:sz="0" w:space="0" w:color="auto"/>
                                <w:bottom w:val="none" w:sz="0" w:space="0" w:color="auto"/>
                                <w:right w:val="none" w:sz="0" w:space="0" w:color="auto"/>
                              </w:divBdr>
                              <w:divsChild>
                                <w:div w:id="1967393317">
                                  <w:marLeft w:val="0"/>
                                  <w:marRight w:val="0"/>
                                  <w:marTop w:val="0"/>
                                  <w:marBottom w:val="0"/>
                                  <w:divBdr>
                                    <w:top w:val="none" w:sz="0" w:space="0" w:color="auto"/>
                                    <w:left w:val="none" w:sz="0" w:space="0" w:color="auto"/>
                                    <w:bottom w:val="none" w:sz="0" w:space="0" w:color="auto"/>
                                    <w:right w:val="none" w:sz="0" w:space="0" w:color="auto"/>
                                  </w:divBdr>
                                  <w:divsChild>
                                    <w:div w:id="812062371">
                                      <w:marLeft w:val="0"/>
                                      <w:marRight w:val="0"/>
                                      <w:marTop w:val="0"/>
                                      <w:marBottom w:val="0"/>
                                      <w:divBdr>
                                        <w:top w:val="none" w:sz="0" w:space="0" w:color="auto"/>
                                        <w:left w:val="none" w:sz="0" w:space="0" w:color="auto"/>
                                        <w:bottom w:val="none" w:sz="0" w:space="0" w:color="auto"/>
                                        <w:right w:val="none" w:sz="0" w:space="0" w:color="auto"/>
                                      </w:divBdr>
                                      <w:divsChild>
                                        <w:div w:id="2144494510">
                                          <w:marLeft w:val="0"/>
                                          <w:marRight w:val="0"/>
                                          <w:marTop w:val="0"/>
                                          <w:marBottom w:val="0"/>
                                          <w:divBdr>
                                            <w:top w:val="none" w:sz="0" w:space="0" w:color="auto"/>
                                            <w:left w:val="none" w:sz="0" w:space="0" w:color="auto"/>
                                            <w:bottom w:val="none" w:sz="0" w:space="0" w:color="auto"/>
                                            <w:right w:val="none" w:sz="0" w:space="0" w:color="auto"/>
                                          </w:divBdr>
                                          <w:divsChild>
                                            <w:div w:id="16808378">
                                              <w:marLeft w:val="0"/>
                                              <w:marRight w:val="0"/>
                                              <w:marTop w:val="0"/>
                                              <w:marBottom w:val="0"/>
                                              <w:divBdr>
                                                <w:top w:val="none" w:sz="0" w:space="0" w:color="auto"/>
                                                <w:left w:val="none" w:sz="0" w:space="0" w:color="auto"/>
                                                <w:bottom w:val="none" w:sz="0" w:space="0" w:color="auto"/>
                                                <w:right w:val="none" w:sz="0" w:space="0" w:color="auto"/>
                                              </w:divBdr>
                                              <w:divsChild>
                                                <w:div w:id="877009508">
                                                  <w:marLeft w:val="0"/>
                                                  <w:marRight w:val="0"/>
                                                  <w:marTop w:val="0"/>
                                                  <w:marBottom w:val="0"/>
                                                  <w:divBdr>
                                                    <w:top w:val="none" w:sz="0" w:space="0" w:color="auto"/>
                                                    <w:left w:val="none" w:sz="0" w:space="0" w:color="auto"/>
                                                    <w:bottom w:val="none" w:sz="0" w:space="0" w:color="auto"/>
                                                    <w:right w:val="none" w:sz="0" w:space="0" w:color="auto"/>
                                                  </w:divBdr>
                                                  <w:divsChild>
                                                    <w:div w:id="12355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977796">
      <w:bodyDiv w:val="1"/>
      <w:marLeft w:val="0"/>
      <w:marRight w:val="0"/>
      <w:marTop w:val="0"/>
      <w:marBottom w:val="0"/>
      <w:divBdr>
        <w:top w:val="none" w:sz="0" w:space="0" w:color="auto"/>
        <w:left w:val="none" w:sz="0" w:space="0" w:color="auto"/>
        <w:bottom w:val="none" w:sz="0" w:space="0" w:color="auto"/>
        <w:right w:val="none" w:sz="0" w:space="0" w:color="auto"/>
      </w:divBdr>
      <w:divsChild>
        <w:div w:id="1362821889">
          <w:marLeft w:val="0"/>
          <w:marRight w:val="0"/>
          <w:marTop w:val="0"/>
          <w:marBottom w:val="0"/>
          <w:divBdr>
            <w:top w:val="none" w:sz="0" w:space="0" w:color="auto"/>
            <w:left w:val="none" w:sz="0" w:space="0" w:color="auto"/>
            <w:bottom w:val="none" w:sz="0" w:space="0" w:color="auto"/>
            <w:right w:val="none" w:sz="0" w:space="0" w:color="auto"/>
          </w:divBdr>
          <w:divsChild>
            <w:div w:id="974482638">
              <w:marLeft w:val="0"/>
              <w:marRight w:val="0"/>
              <w:marTop w:val="0"/>
              <w:marBottom w:val="0"/>
              <w:divBdr>
                <w:top w:val="none" w:sz="0" w:space="0" w:color="auto"/>
                <w:left w:val="none" w:sz="0" w:space="0" w:color="auto"/>
                <w:bottom w:val="none" w:sz="0" w:space="0" w:color="auto"/>
                <w:right w:val="none" w:sz="0" w:space="0" w:color="auto"/>
              </w:divBdr>
              <w:divsChild>
                <w:div w:id="1209300902">
                  <w:marLeft w:val="0"/>
                  <w:marRight w:val="0"/>
                  <w:marTop w:val="0"/>
                  <w:marBottom w:val="0"/>
                  <w:divBdr>
                    <w:top w:val="none" w:sz="0" w:space="0" w:color="auto"/>
                    <w:left w:val="none" w:sz="0" w:space="0" w:color="auto"/>
                    <w:bottom w:val="none" w:sz="0" w:space="0" w:color="auto"/>
                    <w:right w:val="none" w:sz="0" w:space="0" w:color="auto"/>
                  </w:divBdr>
                  <w:divsChild>
                    <w:div w:id="624234375">
                      <w:marLeft w:val="0"/>
                      <w:marRight w:val="0"/>
                      <w:marTop w:val="0"/>
                      <w:marBottom w:val="0"/>
                      <w:divBdr>
                        <w:top w:val="none" w:sz="0" w:space="0" w:color="auto"/>
                        <w:left w:val="none" w:sz="0" w:space="0" w:color="auto"/>
                        <w:bottom w:val="none" w:sz="0" w:space="0" w:color="auto"/>
                        <w:right w:val="none" w:sz="0" w:space="0" w:color="auto"/>
                      </w:divBdr>
                      <w:divsChild>
                        <w:div w:id="2049407239">
                          <w:marLeft w:val="0"/>
                          <w:marRight w:val="0"/>
                          <w:marTop w:val="0"/>
                          <w:marBottom w:val="0"/>
                          <w:divBdr>
                            <w:top w:val="none" w:sz="0" w:space="0" w:color="auto"/>
                            <w:left w:val="none" w:sz="0" w:space="0" w:color="auto"/>
                            <w:bottom w:val="none" w:sz="0" w:space="0" w:color="auto"/>
                            <w:right w:val="none" w:sz="0" w:space="0" w:color="auto"/>
                          </w:divBdr>
                          <w:divsChild>
                            <w:div w:id="1982150219">
                              <w:marLeft w:val="0"/>
                              <w:marRight w:val="0"/>
                              <w:marTop w:val="0"/>
                              <w:marBottom w:val="0"/>
                              <w:divBdr>
                                <w:top w:val="none" w:sz="0" w:space="0" w:color="auto"/>
                                <w:left w:val="none" w:sz="0" w:space="0" w:color="auto"/>
                                <w:bottom w:val="none" w:sz="0" w:space="0" w:color="auto"/>
                                <w:right w:val="none" w:sz="0" w:space="0" w:color="auto"/>
                              </w:divBdr>
                              <w:divsChild>
                                <w:div w:id="1872911676">
                                  <w:marLeft w:val="0"/>
                                  <w:marRight w:val="0"/>
                                  <w:marTop w:val="0"/>
                                  <w:marBottom w:val="0"/>
                                  <w:divBdr>
                                    <w:top w:val="none" w:sz="0" w:space="0" w:color="auto"/>
                                    <w:left w:val="none" w:sz="0" w:space="0" w:color="auto"/>
                                    <w:bottom w:val="none" w:sz="0" w:space="0" w:color="auto"/>
                                    <w:right w:val="none" w:sz="0" w:space="0" w:color="auto"/>
                                  </w:divBdr>
                                  <w:divsChild>
                                    <w:div w:id="1092506232">
                                      <w:marLeft w:val="0"/>
                                      <w:marRight w:val="0"/>
                                      <w:marTop w:val="0"/>
                                      <w:marBottom w:val="0"/>
                                      <w:divBdr>
                                        <w:top w:val="none" w:sz="0" w:space="0" w:color="auto"/>
                                        <w:left w:val="none" w:sz="0" w:space="0" w:color="auto"/>
                                        <w:bottom w:val="none" w:sz="0" w:space="0" w:color="auto"/>
                                        <w:right w:val="none" w:sz="0" w:space="0" w:color="auto"/>
                                      </w:divBdr>
                                      <w:divsChild>
                                        <w:div w:id="1062101230">
                                          <w:marLeft w:val="0"/>
                                          <w:marRight w:val="0"/>
                                          <w:marTop w:val="0"/>
                                          <w:marBottom w:val="0"/>
                                          <w:divBdr>
                                            <w:top w:val="none" w:sz="0" w:space="0" w:color="auto"/>
                                            <w:left w:val="none" w:sz="0" w:space="0" w:color="auto"/>
                                            <w:bottom w:val="none" w:sz="0" w:space="0" w:color="auto"/>
                                            <w:right w:val="none" w:sz="0" w:space="0" w:color="auto"/>
                                          </w:divBdr>
                                          <w:divsChild>
                                            <w:div w:id="261767314">
                                              <w:marLeft w:val="0"/>
                                              <w:marRight w:val="0"/>
                                              <w:marTop w:val="0"/>
                                              <w:marBottom w:val="0"/>
                                              <w:divBdr>
                                                <w:top w:val="none" w:sz="0" w:space="0" w:color="auto"/>
                                                <w:left w:val="none" w:sz="0" w:space="0" w:color="auto"/>
                                                <w:bottom w:val="none" w:sz="0" w:space="0" w:color="auto"/>
                                                <w:right w:val="none" w:sz="0" w:space="0" w:color="auto"/>
                                              </w:divBdr>
                                              <w:divsChild>
                                                <w:div w:id="1532035519">
                                                  <w:marLeft w:val="0"/>
                                                  <w:marRight w:val="0"/>
                                                  <w:marTop w:val="0"/>
                                                  <w:marBottom w:val="0"/>
                                                  <w:divBdr>
                                                    <w:top w:val="none" w:sz="0" w:space="0" w:color="auto"/>
                                                    <w:left w:val="none" w:sz="0" w:space="0" w:color="auto"/>
                                                    <w:bottom w:val="none" w:sz="0" w:space="0" w:color="auto"/>
                                                    <w:right w:val="none" w:sz="0" w:space="0" w:color="auto"/>
                                                  </w:divBdr>
                                                  <w:divsChild>
                                                    <w:div w:id="16608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4411">
      <w:bodyDiv w:val="1"/>
      <w:marLeft w:val="0"/>
      <w:marRight w:val="0"/>
      <w:marTop w:val="0"/>
      <w:marBottom w:val="0"/>
      <w:divBdr>
        <w:top w:val="none" w:sz="0" w:space="0" w:color="auto"/>
        <w:left w:val="none" w:sz="0" w:space="0" w:color="auto"/>
        <w:bottom w:val="none" w:sz="0" w:space="0" w:color="auto"/>
        <w:right w:val="none" w:sz="0" w:space="0" w:color="auto"/>
      </w:divBdr>
    </w:div>
    <w:div w:id="1950769557">
      <w:bodyDiv w:val="1"/>
      <w:marLeft w:val="0"/>
      <w:marRight w:val="0"/>
      <w:marTop w:val="0"/>
      <w:marBottom w:val="0"/>
      <w:divBdr>
        <w:top w:val="none" w:sz="0" w:space="0" w:color="auto"/>
        <w:left w:val="none" w:sz="0" w:space="0" w:color="auto"/>
        <w:bottom w:val="none" w:sz="0" w:space="0" w:color="auto"/>
        <w:right w:val="none" w:sz="0" w:space="0" w:color="auto"/>
      </w:divBdr>
      <w:divsChild>
        <w:div w:id="750082197">
          <w:marLeft w:val="0"/>
          <w:marRight w:val="0"/>
          <w:marTop w:val="0"/>
          <w:marBottom w:val="0"/>
          <w:divBdr>
            <w:top w:val="none" w:sz="0" w:space="0" w:color="auto"/>
            <w:left w:val="none" w:sz="0" w:space="0" w:color="auto"/>
            <w:bottom w:val="none" w:sz="0" w:space="0" w:color="auto"/>
            <w:right w:val="none" w:sz="0" w:space="0" w:color="auto"/>
          </w:divBdr>
          <w:divsChild>
            <w:div w:id="2084332325">
              <w:marLeft w:val="0"/>
              <w:marRight w:val="0"/>
              <w:marTop w:val="0"/>
              <w:marBottom w:val="0"/>
              <w:divBdr>
                <w:top w:val="none" w:sz="0" w:space="0" w:color="auto"/>
                <w:left w:val="none" w:sz="0" w:space="0" w:color="auto"/>
                <w:bottom w:val="none" w:sz="0" w:space="0" w:color="auto"/>
                <w:right w:val="none" w:sz="0" w:space="0" w:color="auto"/>
              </w:divBdr>
              <w:divsChild>
                <w:div w:id="450443241">
                  <w:marLeft w:val="0"/>
                  <w:marRight w:val="0"/>
                  <w:marTop w:val="0"/>
                  <w:marBottom w:val="0"/>
                  <w:divBdr>
                    <w:top w:val="none" w:sz="0" w:space="0" w:color="auto"/>
                    <w:left w:val="none" w:sz="0" w:space="0" w:color="auto"/>
                    <w:bottom w:val="none" w:sz="0" w:space="0" w:color="auto"/>
                    <w:right w:val="none" w:sz="0" w:space="0" w:color="auto"/>
                  </w:divBdr>
                  <w:divsChild>
                    <w:div w:id="136537619">
                      <w:marLeft w:val="0"/>
                      <w:marRight w:val="0"/>
                      <w:marTop w:val="0"/>
                      <w:marBottom w:val="0"/>
                      <w:divBdr>
                        <w:top w:val="none" w:sz="0" w:space="0" w:color="auto"/>
                        <w:left w:val="none" w:sz="0" w:space="0" w:color="auto"/>
                        <w:bottom w:val="none" w:sz="0" w:space="0" w:color="auto"/>
                        <w:right w:val="none" w:sz="0" w:space="0" w:color="auto"/>
                      </w:divBdr>
                      <w:divsChild>
                        <w:div w:id="1957757939">
                          <w:marLeft w:val="0"/>
                          <w:marRight w:val="0"/>
                          <w:marTop w:val="0"/>
                          <w:marBottom w:val="0"/>
                          <w:divBdr>
                            <w:top w:val="none" w:sz="0" w:space="0" w:color="auto"/>
                            <w:left w:val="none" w:sz="0" w:space="0" w:color="auto"/>
                            <w:bottom w:val="none" w:sz="0" w:space="0" w:color="auto"/>
                            <w:right w:val="none" w:sz="0" w:space="0" w:color="auto"/>
                          </w:divBdr>
                          <w:divsChild>
                            <w:div w:id="890533906">
                              <w:marLeft w:val="0"/>
                              <w:marRight w:val="0"/>
                              <w:marTop w:val="0"/>
                              <w:marBottom w:val="0"/>
                              <w:divBdr>
                                <w:top w:val="none" w:sz="0" w:space="0" w:color="auto"/>
                                <w:left w:val="none" w:sz="0" w:space="0" w:color="auto"/>
                                <w:bottom w:val="none" w:sz="0" w:space="0" w:color="auto"/>
                                <w:right w:val="none" w:sz="0" w:space="0" w:color="auto"/>
                              </w:divBdr>
                              <w:divsChild>
                                <w:div w:id="608658487">
                                  <w:marLeft w:val="0"/>
                                  <w:marRight w:val="0"/>
                                  <w:marTop w:val="0"/>
                                  <w:marBottom w:val="0"/>
                                  <w:divBdr>
                                    <w:top w:val="none" w:sz="0" w:space="0" w:color="auto"/>
                                    <w:left w:val="none" w:sz="0" w:space="0" w:color="auto"/>
                                    <w:bottom w:val="none" w:sz="0" w:space="0" w:color="auto"/>
                                    <w:right w:val="none" w:sz="0" w:space="0" w:color="auto"/>
                                  </w:divBdr>
                                  <w:divsChild>
                                    <w:div w:id="788740351">
                                      <w:marLeft w:val="0"/>
                                      <w:marRight w:val="0"/>
                                      <w:marTop w:val="0"/>
                                      <w:marBottom w:val="0"/>
                                      <w:divBdr>
                                        <w:top w:val="none" w:sz="0" w:space="0" w:color="auto"/>
                                        <w:left w:val="none" w:sz="0" w:space="0" w:color="auto"/>
                                        <w:bottom w:val="none" w:sz="0" w:space="0" w:color="auto"/>
                                        <w:right w:val="none" w:sz="0" w:space="0" w:color="auto"/>
                                      </w:divBdr>
                                      <w:divsChild>
                                        <w:div w:id="860777070">
                                          <w:marLeft w:val="0"/>
                                          <w:marRight w:val="0"/>
                                          <w:marTop w:val="0"/>
                                          <w:marBottom w:val="0"/>
                                          <w:divBdr>
                                            <w:top w:val="none" w:sz="0" w:space="0" w:color="auto"/>
                                            <w:left w:val="none" w:sz="0" w:space="0" w:color="auto"/>
                                            <w:bottom w:val="none" w:sz="0" w:space="0" w:color="auto"/>
                                            <w:right w:val="none" w:sz="0" w:space="0" w:color="auto"/>
                                          </w:divBdr>
                                          <w:divsChild>
                                            <w:div w:id="1119255342">
                                              <w:marLeft w:val="0"/>
                                              <w:marRight w:val="0"/>
                                              <w:marTop w:val="0"/>
                                              <w:marBottom w:val="0"/>
                                              <w:divBdr>
                                                <w:top w:val="none" w:sz="0" w:space="0" w:color="auto"/>
                                                <w:left w:val="none" w:sz="0" w:space="0" w:color="auto"/>
                                                <w:bottom w:val="none" w:sz="0" w:space="0" w:color="auto"/>
                                                <w:right w:val="none" w:sz="0" w:space="0" w:color="auto"/>
                                              </w:divBdr>
                                              <w:divsChild>
                                                <w:div w:id="878323733">
                                                  <w:marLeft w:val="0"/>
                                                  <w:marRight w:val="0"/>
                                                  <w:marTop w:val="0"/>
                                                  <w:marBottom w:val="0"/>
                                                  <w:divBdr>
                                                    <w:top w:val="none" w:sz="0" w:space="0" w:color="auto"/>
                                                    <w:left w:val="none" w:sz="0" w:space="0" w:color="auto"/>
                                                    <w:bottom w:val="none" w:sz="0" w:space="0" w:color="auto"/>
                                                    <w:right w:val="none" w:sz="0" w:space="0" w:color="auto"/>
                                                  </w:divBdr>
                                                  <w:divsChild>
                                                    <w:div w:id="7481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Eisai Co.,Ltd.</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 Eda (江田 浩幸) / 創薬研究所　ＰＬＲ２</dc:creator>
  <cp:keywords/>
  <dc:description/>
  <cp:lastModifiedBy>Mariko Ashida</cp:lastModifiedBy>
  <cp:revision>2</cp:revision>
  <cp:lastPrinted>2018-03-05T11:47:00Z</cp:lastPrinted>
  <dcterms:created xsi:type="dcterms:W3CDTF">2018-03-05T11:48:00Z</dcterms:created>
  <dcterms:modified xsi:type="dcterms:W3CDTF">2018-03-05T11:48:00Z</dcterms:modified>
</cp:coreProperties>
</file>